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委宣传部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香河县委宣传部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根据《县宣传部职能配置、内设机构和人员编制规定》， 县宣传部的主要职责是：</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(一)拟订全县宣传思想文化工作重大方针政策和事业发展总体规划，统筹协调推进宣传思想文化领域法治建设，按照县委统一部署，协调宣传思想文化系统各</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之间的工作。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(二)统筹协调全县党的意识形态工作，贯彻落实县委关于意识形态工作决策部署，组织协调意识形态工作责任制落实和日常监督检查，结合巡察工作开展专项检查。</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(三)统筹指导协调全县理论研究、理论学习、理论宣传工作，组织推动理论武装工作，推动落实马克思主义理论研究和建设工程任务，负责县委理论学习中心组理论学习的有关工作。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协调全县国防教育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(五)统筹分析研判和引导全县社会舆论，指导协调县直各新闻单位的工作，组织全县突发公共事件应急新闻工作。承担县突发公共事件应急新闻办公室日常工作。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拟订全县新闻出版业的管理政策并督促落实，管理新闻出版行政事务，统筹规划和指导协调新闻出版事业、产业发展，协助做好出版物内容和质量的监督管理，监督管理印刷业，管理著作权等。组织指导协调全县“扫黄打非”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(七)从宏观上统筹指导协调全县互联网宣传和信息内容管理工作。统筹数字新媒体的建设和管理。</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(八)从宏观上统筹指导协调推动全县精神文化产品的创作和生产，协调组织中华优秀传统文化传承发展有关工作，指导协调推动群众文化建设。</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(九)负责管理全县电影行政事务，指导监管电影制片、发行、放映工作，组织对电影内容进行审查，指导协调全县性重大电影活动。</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(十)对全县新闻出版、广播影视、文化艺术业改革发展研究提出政策性建议，统筹指导协调文化体制改革和文化事业、文化产业及旅游业发展。承担县文化体制改革和发展工作领导小组办公室日常工作。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(十一)统筹指导全县舆情信息工作，组织协调开展省内外舆情信息收集分析研判工作，跟踪了解、研究掌握宣传舆情动态。</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(十二)统筹研究拟定有关全县精神文明建设的方针、政策。规划部署全县精神文明建设工作，组织指导全县群众性精神文明创建活动。</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(十三)统筹协调全县对外宣传工作。指导协调有关部门研究拟订全县对外宣传事业发展规划，组织协调我县对外宣传文化交流工作，会同有关部门做好境外记者采访事务方面工作。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统筹协调组织开展新闻发布工作。承担县委新闻发布有关组织协调工作，负责县政府新闻发布组织实施工作。指导协调县政府各部门和各镇（社区）、园区的新闻发布工作，推动新闻发言人制度落实。拟订我县重大问题对外宣传口径。</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(十五)统筹指导协调全县哲学社会科学发展工作。组织制定发展战略、中长期规划和专项计划。负责组织开展县级新型智库建设工作，组织哲学社会科学研究课题成果转化应用等工作。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受县委委托，会同县委组织部管理新闻、文化、出版和互联网信息等方面宣传文化单位的领导干部。负责有关重要宣传舆论阵地和重要岗位领导干部管理工作。负责组织开展宣传思想文化系统干部教育培训和人才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(十七)对县互联网信息办公室互联网宣传和信息内容管理方面的工作实施方针、政策的指导。归口领导县文化广电和旅游局。受县委委托，代管县文联、县融媒体中心。</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(十八)完成县委交办的其他任务。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ind w:firstLine="0" w:firstLineChars="0"/>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2"/>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ind w:firstLine="0" w:firstLineChars="0"/>
              <w:jc w:val="center"/>
              <w:rPr>
                <w:rFonts w:ascii="Times New Roman" w:hAnsi="Times New Roman" w:eastAsia="仿宋_GB2312" w:cs="Times New Roman"/>
                <w:b/>
                <w:sz w:val="21"/>
                <w:szCs w:val="24"/>
              </w:rPr>
            </w:pPr>
            <w:r>
              <w:rPr>
                <w:rFonts w:ascii="Times New Roman" w:hAnsi="Times New Roman" w:eastAsia="仿宋_GB2312" w:cs="Times New Roman"/>
                <w:b/>
                <w:sz w:val="21"/>
                <w:szCs w:val="24"/>
              </w:rPr>
              <w:t>单位名称</w:t>
            </w:r>
          </w:p>
        </w:tc>
        <w:tc>
          <w:tcPr>
            <w:tcW w:w="1134" w:type="dxa"/>
            <w:vMerge w:val="restart"/>
            <w:shd w:val="clear" w:color="auto" w:fill="auto"/>
            <w:vAlign w:val="center"/>
          </w:tcPr>
          <w:p>
            <w:pPr>
              <w:spacing w:line="584" w:lineRule="exact"/>
              <w:ind w:firstLine="0" w:firstLineChars="0"/>
              <w:jc w:val="center"/>
              <w:rPr>
                <w:rFonts w:ascii="Times New Roman" w:hAnsi="Times New Roman" w:eastAsia="仿宋_GB2312" w:cs="Times New Roman"/>
                <w:b/>
                <w:sz w:val="21"/>
                <w:szCs w:val="24"/>
              </w:rPr>
            </w:pPr>
            <w:r>
              <w:rPr>
                <w:rFonts w:ascii="Times New Roman" w:hAnsi="Times New Roman" w:eastAsia="仿宋_GB2312" w:cs="Times New Roman"/>
                <w:b/>
                <w:sz w:val="21"/>
                <w:szCs w:val="24"/>
              </w:rPr>
              <w:t>单位性质</w:t>
            </w:r>
          </w:p>
        </w:tc>
        <w:tc>
          <w:tcPr>
            <w:tcW w:w="1276" w:type="dxa"/>
            <w:vMerge w:val="restart"/>
            <w:shd w:val="clear" w:color="auto" w:fill="auto"/>
            <w:vAlign w:val="center"/>
          </w:tcPr>
          <w:p>
            <w:pPr>
              <w:spacing w:line="584" w:lineRule="exact"/>
              <w:ind w:firstLine="0" w:firstLineChars="0"/>
              <w:jc w:val="center"/>
              <w:rPr>
                <w:rFonts w:ascii="Times New Roman" w:hAnsi="Times New Roman" w:eastAsia="仿宋_GB2312" w:cs="Times New Roman"/>
                <w:b/>
                <w:sz w:val="21"/>
                <w:szCs w:val="24"/>
              </w:rPr>
            </w:pPr>
            <w:r>
              <w:rPr>
                <w:rFonts w:ascii="Times New Roman" w:hAnsi="Times New Roman" w:eastAsia="仿宋_GB2312" w:cs="Times New Roman"/>
                <w:b/>
                <w:sz w:val="21"/>
                <w:szCs w:val="24"/>
              </w:rPr>
              <w:t>单位规格</w:t>
            </w:r>
          </w:p>
        </w:tc>
        <w:tc>
          <w:tcPr>
            <w:tcW w:w="2902" w:type="dxa"/>
            <w:vMerge w:val="restart"/>
            <w:shd w:val="clear" w:color="auto" w:fill="auto"/>
            <w:vAlign w:val="center"/>
          </w:tcPr>
          <w:p>
            <w:pPr>
              <w:spacing w:line="584" w:lineRule="exact"/>
              <w:ind w:firstLine="0" w:firstLineChars="0"/>
              <w:jc w:val="center"/>
              <w:rPr>
                <w:rFonts w:ascii="Times New Roman" w:hAnsi="Times New Roman" w:eastAsia="仿宋_GB2312" w:cs="Times New Roman"/>
                <w:b/>
                <w:sz w:val="21"/>
                <w:szCs w:val="24"/>
              </w:rPr>
            </w:pPr>
            <w:r>
              <w:rPr>
                <w:rFonts w:ascii="Times New Roman" w:hAnsi="Times New Roman" w:eastAsia="仿宋_GB2312" w:cs="Times New Roman"/>
                <w:b/>
                <w:sz w:val="21"/>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ind w:firstLine="0" w:firstLineChars="0"/>
              <w:jc w:val="left"/>
              <w:outlineLvl w:val="0"/>
              <w:rPr>
                <w:rFonts w:ascii="Times New Roman" w:hAnsi="Times New Roman" w:eastAsia="仿宋_GB2312" w:cs="Times New Roman"/>
                <w:sz w:val="21"/>
                <w:szCs w:val="24"/>
              </w:rPr>
            </w:pPr>
          </w:p>
        </w:tc>
        <w:tc>
          <w:tcPr>
            <w:tcW w:w="1134" w:type="dxa"/>
            <w:vMerge w:val="continue"/>
            <w:shd w:val="clear" w:color="auto" w:fill="auto"/>
            <w:vAlign w:val="center"/>
          </w:tcPr>
          <w:p>
            <w:pPr>
              <w:spacing w:line="584" w:lineRule="exact"/>
              <w:ind w:firstLine="0" w:firstLineChars="0"/>
              <w:jc w:val="left"/>
              <w:outlineLvl w:val="0"/>
              <w:rPr>
                <w:rFonts w:ascii="Times New Roman" w:hAnsi="Times New Roman" w:eastAsia="仿宋_GB2312" w:cs="Times New Roman"/>
                <w:sz w:val="21"/>
                <w:szCs w:val="24"/>
              </w:rPr>
            </w:pPr>
          </w:p>
        </w:tc>
        <w:tc>
          <w:tcPr>
            <w:tcW w:w="1276" w:type="dxa"/>
            <w:vMerge w:val="continue"/>
            <w:shd w:val="clear" w:color="auto" w:fill="auto"/>
            <w:vAlign w:val="center"/>
          </w:tcPr>
          <w:p>
            <w:pPr>
              <w:spacing w:line="584" w:lineRule="exact"/>
              <w:ind w:firstLine="0" w:firstLineChars="0"/>
              <w:jc w:val="left"/>
              <w:outlineLvl w:val="0"/>
              <w:rPr>
                <w:rFonts w:ascii="Times New Roman" w:hAnsi="Times New Roman" w:eastAsia="仿宋_GB2312" w:cs="Times New Roman"/>
                <w:sz w:val="21"/>
                <w:szCs w:val="24"/>
              </w:rPr>
            </w:pPr>
          </w:p>
        </w:tc>
        <w:tc>
          <w:tcPr>
            <w:tcW w:w="2902" w:type="dxa"/>
            <w:vMerge w:val="continue"/>
            <w:shd w:val="clear" w:color="auto" w:fill="auto"/>
            <w:vAlign w:val="center"/>
          </w:tcPr>
          <w:p>
            <w:pPr>
              <w:spacing w:line="584" w:lineRule="exact"/>
              <w:ind w:firstLine="0" w:firstLineChars="0"/>
              <w:jc w:val="left"/>
              <w:outlineLvl w:val="0"/>
              <w:rPr>
                <w:rFonts w:ascii="Times New Roman" w:hAnsi="Times New Roman" w:eastAsia="仿宋_GB2312" w:cs="Times New Roman"/>
                <w:sz w:val="21"/>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0" w:firstLineChars="0"/>
              <w:jc w:val="center"/>
              <w:rPr>
                <w:rFonts w:hint="eastAsia" w:ascii="Times New Roman" w:hAnsi="Times New Roman" w:eastAsia="仿宋_GB2312" w:cs="Times New Roman"/>
                <w:b/>
                <w:sz w:val="21"/>
                <w:szCs w:val="22"/>
                <w:lang w:eastAsia="zh-CN"/>
              </w:rPr>
            </w:pPr>
            <w:r>
              <w:rPr>
                <w:rFonts w:hint="eastAsia" w:ascii="Times New Roman" w:hAnsi="Times New Roman" w:cs="Times New Roman"/>
                <w:b/>
                <w:sz w:val="21"/>
                <w:szCs w:val="22"/>
                <w:lang w:eastAsia="zh-CN"/>
              </w:rPr>
              <w:t>中共香河县委宣传部</w:t>
            </w:r>
          </w:p>
        </w:tc>
        <w:tc>
          <w:tcPr>
            <w:tcW w:w="1134" w:type="dxa"/>
            <w:shd w:val="clear" w:color="auto" w:fill="auto"/>
            <w:vAlign w:val="center"/>
          </w:tcPr>
          <w:p>
            <w:pPr>
              <w:spacing w:line="584" w:lineRule="exact"/>
              <w:ind w:firstLine="0" w:firstLineChars="0"/>
              <w:jc w:val="center"/>
              <w:rPr>
                <w:rFonts w:hint="eastAsia" w:ascii="Times New Roman" w:hAnsi="Times New Roman" w:eastAsia="仿宋_GB2312" w:cs="Times New Roman"/>
                <w:b/>
                <w:sz w:val="21"/>
                <w:szCs w:val="22"/>
                <w:lang w:eastAsia="zh-CN"/>
              </w:rPr>
            </w:pPr>
            <w:r>
              <w:rPr>
                <w:rFonts w:hint="eastAsia" w:ascii="Times New Roman" w:hAnsi="Times New Roman" w:cs="Times New Roman"/>
                <w:b/>
                <w:sz w:val="21"/>
                <w:szCs w:val="22"/>
                <w:lang w:eastAsia="zh-CN"/>
              </w:rPr>
              <w:t>行政</w:t>
            </w:r>
          </w:p>
        </w:tc>
        <w:tc>
          <w:tcPr>
            <w:tcW w:w="1276" w:type="dxa"/>
            <w:shd w:val="clear" w:color="auto" w:fill="auto"/>
            <w:vAlign w:val="center"/>
          </w:tcPr>
          <w:p>
            <w:pPr>
              <w:spacing w:line="584" w:lineRule="exact"/>
              <w:ind w:firstLine="0" w:firstLineChars="0"/>
              <w:jc w:val="center"/>
              <w:rPr>
                <w:rFonts w:hint="eastAsia" w:ascii="Times New Roman" w:hAnsi="Times New Roman" w:eastAsia="仿宋_GB2312" w:cs="Times New Roman"/>
                <w:b/>
                <w:sz w:val="21"/>
                <w:szCs w:val="22"/>
                <w:lang w:eastAsia="zh-CN"/>
              </w:rPr>
            </w:pPr>
            <w:r>
              <w:rPr>
                <w:rFonts w:hint="eastAsia" w:ascii="Times New Roman" w:hAnsi="Times New Roman" w:cs="Times New Roman"/>
                <w:b/>
                <w:sz w:val="21"/>
                <w:szCs w:val="22"/>
                <w:lang w:eastAsia="zh-CN"/>
              </w:rPr>
              <w:t>正科级</w:t>
            </w:r>
          </w:p>
        </w:tc>
        <w:tc>
          <w:tcPr>
            <w:tcW w:w="2902" w:type="dxa"/>
            <w:shd w:val="clear" w:color="auto" w:fill="auto"/>
            <w:vAlign w:val="center"/>
          </w:tcPr>
          <w:p>
            <w:pPr>
              <w:spacing w:line="584" w:lineRule="exact"/>
              <w:ind w:firstLine="0" w:firstLineChars="0"/>
              <w:jc w:val="center"/>
              <w:rPr>
                <w:rFonts w:ascii="Times New Roman" w:hAnsi="Times New Roman" w:eastAsia="仿宋_GB2312" w:cs="Times New Roman"/>
                <w:b/>
                <w:sz w:val="21"/>
                <w:szCs w:val="22"/>
              </w:rPr>
            </w:pPr>
            <w:r>
              <w:rPr>
                <w:rFonts w:ascii="Times New Roman" w:hAnsi="Times New Roman" w:eastAsia="仿宋_GB2312" w:cs="Times New Roman"/>
                <w:b/>
                <w:sz w:val="21"/>
                <w:szCs w:val="22"/>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0" w:firstLineChars="0"/>
              <w:jc w:val="left"/>
              <w:rPr>
                <w:rFonts w:ascii="Times New Roman" w:hAnsi="Times New Roman" w:eastAsia="仿宋_GB2312" w:cs="Times New Roman"/>
                <w:sz w:val="21"/>
                <w:szCs w:val="22"/>
              </w:rPr>
            </w:pPr>
          </w:p>
        </w:tc>
        <w:tc>
          <w:tcPr>
            <w:tcW w:w="1134" w:type="dxa"/>
            <w:shd w:val="clear" w:color="auto" w:fill="auto"/>
            <w:vAlign w:val="center"/>
          </w:tcPr>
          <w:p>
            <w:pPr>
              <w:spacing w:line="584" w:lineRule="exact"/>
              <w:ind w:firstLine="0" w:firstLineChars="0"/>
              <w:jc w:val="center"/>
              <w:rPr>
                <w:rFonts w:ascii="Times New Roman" w:hAnsi="Times New Roman" w:eastAsia="仿宋_GB2312" w:cs="Times New Roman"/>
                <w:sz w:val="21"/>
                <w:szCs w:val="22"/>
              </w:rPr>
            </w:pPr>
          </w:p>
        </w:tc>
        <w:tc>
          <w:tcPr>
            <w:tcW w:w="1276" w:type="dxa"/>
            <w:shd w:val="clear" w:color="auto" w:fill="auto"/>
            <w:vAlign w:val="center"/>
          </w:tcPr>
          <w:p>
            <w:pPr>
              <w:spacing w:line="584" w:lineRule="exact"/>
              <w:ind w:firstLine="0" w:firstLineChars="0"/>
              <w:jc w:val="center"/>
              <w:rPr>
                <w:rFonts w:ascii="Times New Roman" w:hAnsi="Times New Roman" w:eastAsia="仿宋_GB2312" w:cs="Times New Roman"/>
                <w:sz w:val="21"/>
                <w:szCs w:val="22"/>
              </w:rPr>
            </w:pPr>
          </w:p>
        </w:tc>
        <w:tc>
          <w:tcPr>
            <w:tcW w:w="2902" w:type="dxa"/>
            <w:shd w:val="clear" w:color="auto" w:fill="auto"/>
            <w:vAlign w:val="center"/>
          </w:tcPr>
          <w:p>
            <w:pPr>
              <w:spacing w:line="584" w:lineRule="exact"/>
              <w:ind w:firstLine="0" w:firstLineChars="0"/>
              <w:jc w:val="center"/>
              <w:rPr>
                <w:rFonts w:ascii="Times New Roman" w:hAnsi="Times New Roman" w:eastAsia="仿宋_GB2312" w:cs="Times New Roman"/>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0" w:firstLineChars="0"/>
              <w:jc w:val="left"/>
              <w:rPr>
                <w:rFonts w:ascii="Times New Roman" w:hAnsi="Times New Roman" w:eastAsia="仿宋_GB2312" w:cs="Times New Roman"/>
                <w:sz w:val="21"/>
                <w:szCs w:val="22"/>
              </w:rPr>
            </w:pPr>
          </w:p>
        </w:tc>
        <w:tc>
          <w:tcPr>
            <w:tcW w:w="1134" w:type="dxa"/>
            <w:shd w:val="clear" w:color="auto" w:fill="auto"/>
            <w:vAlign w:val="center"/>
          </w:tcPr>
          <w:p>
            <w:pPr>
              <w:spacing w:line="584" w:lineRule="exact"/>
              <w:ind w:firstLine="0" w:firstLineChars="0"/>
              <w:jc w:val="center"/>
              <w:rPr>
                <w:rFonts w:ascii="Times New Roman" w:hAnsi="Times New Roman" w:eastAsia="仿宋_GB2312" w:cs="Times New Roman"/>
                <w:sz w:val="21"/>
                <w:szCs w:val="22"/>
              </w:rPr>
            </w:pPr>
          </w:p>
        </w:tc>
        <w:tc>
          <w:tcPr>
            <w:tcW w:w="1276" w:type="dxa"/>
            <w:shd w:val="clear" w:color="auto" w:fill="auto"/>
            <w:vAlign w:val="center"/>
          </w:tcPr>
          <w:p>
            <w:pPr>
              <w:spacing w:line="584" w:lineRule="exact"/>
              <w:ind w:firstLine="0" w:firstLineChars="0"/>
              <w:jc w:val="center"/>
              <w:rPr>
                <w:rFonts w:ascii="Times New Roman" w:hAnsi="Times New Roman" w:eastAsia="仿宋_GB2312" w:cs="Times New Roman"/>
                <w:sz w:val="21"/>
                <w:szCs w:val="22"/>
              </w:rPr>
            </w:pPr>
          </w:p>
        </w:tc>
        <w:tc>
          <w:tcPr>
            <w:tcW w:w="2902" w:type="dxa"/>
            <w:shd w:val="clear" w:color="auto" w:fill="auto"/>
            <w:vAlign w:val="center"/>
          </w:tcPr>
          <w:p>
            <w:pPr>
              <w:spacing w:line="584" w:lineRule="exact"/>
              <w:ind w:firstLine="0" w:firstLineChars="0"/>
              <w:jc w:val="center"/>
              <w:rPr>
                <w:rFonts w:ascii="Times New Roman" w:hAnsi="Times New Roman" w:eastAsia="仿宋_GB2312" w:cs="Times New Roman"/>
                <w:sz w:val="21"/>
                <w:szCs w:val="22"/>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cs="Times New Roman"/>
          <w:sz w:val="32"/>
          <w:szCs w:val="32"/>
          <w:lang w:eastAsia="zh-CN"/>
        </w:rPr>
        <w:t>委宣传部</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cs="Times New Roman"/>
          <w:sz w:val="32"/>
          <w:szCs w:val="32"/>
          <w:lang w:val="en-US" w:eastAsia="zh-CN"/>
        </w:rPr>
        <w:t>2125.61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2078.61</w:t>
      </w:r>
      <w:r>
        <w:rPr>
          <w:rFonts w:ascii="Times New Roman" w:hAnsi="Times New Roman" w:eastAsia="仿宋_GB2312" w:cs="Times New Roman"/>
          <w:sz w:val="32"/>
          <w:szCs w:val="32"/>
        </w:rPr>
        <w:t>万元，基金预算收入</w:t>
      </w:r>
      <w:r>
        <w:rPr>
          <w:rFonts w:hint="eastAsia" w:ascii="Times New Roman" w:hAnsi="Times New Roman" w:cs="Times New Roman"/>
          <w:sz w:val="32"/>
          <w:szCs w:val="32"/>
          <w:lang w:val="en-US" w:eastAsia="zh-CN"/>
        </w:rPr>
        <w:t>47</w:t>
      </w:r>
      <w:r>
        <w:rPr>
          <w:rFonts w:ascii="Times New Roman" w:hAnsi="Times New Roman" w:eastAsia="仿宋_GB2312" w:cs="Times New Roman"/>
          <w:sz w:val="32"/>
          <w:szCs w:val="32"/>
        </w:rPr>
        <w:t>万元，财政专户核拨收入</w:t>
      </w:r>
      <w:r>
        <w:rPr>
          <w:rFonts w:hint="eastAsia" w:ascii="Times New Roman" w:hAnsi="Times New Roman"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cs="Times New Roman"/>
          <w:sz w:val="32"/>
          <w:szCs w:val="32"/>
          <w:lang w:val="en-US" w:eastAsia="zh-CN"/>
        </w:rPr>
        <w:t>2125.61</w:t>
      </w:r>
      <w:r>
        <w:rPr>
          <w:rFonts w:ascii="Times New Roman" w:hAnsi="Times New Roman" w:eastAsia="仿宋_GB2312" w:cs="Times New Roman"/>
          <w:sz w:val="32"/>
          <w:szCs w:val="32"/>
        </w:rPr>
        <w:t>万元，其中基本支出</w:t>
      </w:r>
      <w:r>
        <w:rPr>
          <w:rFonts w:hint="eastAsia" w:ascii="Times New Roman" w:hAnsi="Times New Roman" w:cs="Times New Roman"/>
          <w:sz w:val="32"/>
          <w:szCs w:val="32"/>
          <w:lang w:val="en-US" w:eastAsia="zh-CN"/>
        </w:rPr>
        <w:t>373.48</w:t>
      </w:r>
      <w:r>
        <w:rPr>
          <w:rFonts w:ascii="Times New Roman" w:hAnsi="Times New Roman" w:eastAsia="仿宋_GB2312" w:cs="Times New Roman"/>
          <w:sz w:val="32"/>
          <w:szCs w:val="32"/>
        </w:rPr>
        <w:t>万元，包括人员类项目经费</w:t>
      </w:r>
      <w:r>
        <w:rPr>
          <w:rFonts w:hint="eastAsia" w:ascii="Times New Roman" w:hAnsi="Times New Roman" w:cs="Times New Roman"/>
          <w:sz w:val="32"/>
          <w:szCs w:val="32"/>
          <w:lang w:val="en-US" w:eastAsia="zh-CN"/>
        </w:rPr>
        <w:t>331.59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cs="Times New Roman"/>
          <w:sz w:val="32"/>
          <w:szCs w:val="32"/>
          <w:lang w:val="en-US" w:eastAsia="zh-CN"/>
        </w:rPr>
        <w:t>41.89</w:t>
      </w:r>
      <w:r>
        <w:rPr>
          <w:rFonts w:ascii="Times New Roman" w:hAnsi="Times New Roman" w:eastAsia="仿宋_GB2312" w:cs="Times New Roman"/>
          <w:sz w:val="32"/>
          <w:szCs w:val="32"/>
        </w:rPr>
        <w:t>万元；运转类其他及特定目标类项目支出</w:t>
      </w:r>
      <w:r>
        <w:rPr>
          <w:rFonts w:hint="eastAsia" w:ascii="Times New Roman" w:hAnsi="Times New Roman" w:cs="Times New Roman"/>
          <w:sz w:val="32"/>
          <w:szCs w:val="32"/>
          <w:lang w:val="en-US" w:eastAsia="zh-CN"/>
        </w:rPr>
        <w:t>1705.13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行政运行、文化和旅游、电影等</w:t>
      </w:r>
      <w:r>
        <w:rPr>
          <w:rFonts w:ascii="Times New Roman" w:hAnsi="Times New Roman" w:eastAsia="仿宋_GB2312" w:cs="Times New Roman"/>
          <w:sz w:val="32"/>
          <w:szCs w:val="32"/>
        </w:rPr>
        <w:t>。</w:t>
      </w:r>
    </w:p>
    <w:p>
      <w:pPr>
        <w:spacing w:line="584" w:lineRule="exact"/>
        <w:ind w:firstLine="640"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cs="Times New Roman"/>
          <w:sz w:val="32"/>
          <w:szCs w:val="32"/>
          <w:lang w:val="en-US" w:eastAsia="zh-CN"/>
        </w:rPr>
        <w:t>2125.61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cs="Times New Roman"/>
          <w:sz w:val="32"/>
          <w:szCs w:val="32"/>
          <w:lang w:eastAsia="zh-CN"/>
        </w:rPr>
        <w:t>减少</w:t>
      </w:r>
      <w:r>
        <w:rPr>
          <w:rFonts w:hint="eastAsia" w:ascii="Times New Roman" w:hAnsi="Times New Roman" w:cs="Times New Roman"/>
          <w:sz w:val="32"/>
          <w:szCs w:val="32"/>
          <w:lang w:val="en-US" w:eastAsia="zh-CN"/>
        </w:rPr>
        <w:t>56.58</w:t>
      </w:r>
      <w:r>
        <w:rPr>
          <w:rFonts w:ascii="Times New Roman" w:hAnsi="Times New Roman" w:eastAsia="仿宋_GB2312" w:cs="Times New Roman"/>
          <w:sz w:val="32"/>
          <w:szCs w:val="32"/>
        </w:rPr>
        <w:t>万元，其中：基本支出增加</w:t>
      </w:r>
      <w:r>
        <w:rPr>
          <w:rFonts w:hint="eastAsia" w:ascii="Times New Roman" w:hAnsi="Times New Roman" w:cs="Times New Roman"/>
          <w:sz w:val="32"/>
          <w:szCs w:val="32"/>
          <w:lang w:val="en-US" w:eastAsia="zh-CN"/>
        </w:rPr>
        <w:t>87.69</w:t>
      </w:r>
      <w:r>
        <w:rPr>
          <w:rFonts w:ascii="Times New Roman" w:hAnsi="Times New Roman" w:eastAsia="仿宋_GB2312" w:cs="Times New Roman"/>
          <w:sz w:val="32"/>
          <w:szCs w:val="32"/>
        </w:rPr>
        <w:t>万元，主要为</w:t>
      </w:r>
      <w:r>
        <w:rPr>
          <w:rFonts w:hint="eastAsia" w:ascii="Times New Roman" w:hAnsi="Times New Roman" w:cs="Times New Roman"/>
          <w:sz w:val="32"/>
          <w:szCs w:val="32"/>
          <w:lang w:eastAsia="zh-CN"/>
        </w:rPr>
        <w:t>人员经费</w:t>
      </w:r>
      <w:r>
        <w:rPr>
          <w:rFonts w:ascii="Times New Roman" w:hAnsi="Times New Roman" w:eastAsia="仿宋_GB2312" w:cs="Times New Roman"/>
          <w:sz w:val="32"/>
          <w:szCs w:val="32"/>
        </w:rPr>
        <w:t>支出；项目支出</w:t>
      </w:r>
      <w:r>
        <w:rPr>
          <w:rFonts w:hint="eastAsia" w:ascii="Times New Roman" w:hAnsi="Times New Roman" w:cs="Times New Roman"/>
          <w:sz w:val="32"/>
          <w:szCs w:val="32"/>
          <w:lang w:eastAsia="zh-CN"/>
        </w:rPr>
        <w:t>减少</w:t>
      </w:r>
      <w:r>
        <w:rPr>
          <w:rFonts w:hint="eastAsia" w:ascii="Times New Roman" w:hAnsi="Times New Roman" w:cs="Times New Roman"/>
          <w:sz w:val="32"/>
          <w:szCs w:val="32"/>
          <w:lang w:val="en-US" w:eastAsia="zh-CN"/>
        </w:rPr>
        <w:t>178.27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一般公共服务支出</w:t>
      </w:r>
      <w:r>
        <w:rPr>
          <w:rFonts w:hint="eastAsia" w:ascii="Times New Roman" w:hAnsi="Times New Roman" w:eastAsia="仿宋_GB2312" w:cs="Times New Roman"/>
          <w:sz w:val="32"/>
          <w:szCs w:val="32"/>
          <w:lang w:eastAsia="zh-CN"/>
        </w:rPr>
        <w:t>和文化旅游体育与传媒支出</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cs="Times New Roman"/>
          <w:sz w:val="32"/>
          <w:szCs w:val="32"/>
          <w:lang w:val="en-US" w:eastAsia="zh-CN"/>
        </w:rPr>
        <w:t>41.89</w:t>
      </w:r>
      <w:r>
        <w:rPr>
          <w:rFonts w:ascii="Times New Roman" w:hAnsi="Times New Roman" w:eastAsia="仿宋_GB2312" w:cs="Times New Roman"/>
          <w:sz w:val="32"/>
          <w:szCs w:val="32"/>
        </w:rPr>
        <w:t>万元，主要用于</w:t>
      </w:r>
      <w:r>
        <w:rPr>
          <w:rFonts w:hint="eastAsia" w:ascii="Times New Roman" w:hAnsi="Times New Roman" w:cs="Times New Roman"/>
          <w:sz w:val="32"/>
          <w:szCs w:val="32"/>
          <w:lang w:eastAsia="zh-CN"/>
        </w:rPr>
        <w:t>宣传部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301"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cs="Times New Roman"/>
          <w:sz w:val="32"/>
          <w:szCs w:val="32"/>
          <w:lang w:val="en-US" w:eastAsia="zh-CN"/>
        </w:rPr>
        <w:t>10.99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cs="Times New Roman"/>
          <w:sz w:val="32"/>
          <w:szCs w:val="32"/>
          <w:lang w:val="en-US" w:eastAsia="zh-CN"/>
        </w:rPr>
        <w:t>5.99</w:t>
      </w:r>
      <w:r>
        <w:rPr>
          <w:rFonts w:ascii="Times New Roman" w:hAnsi="Times New Roman" w:eastAsia="仿宋_GB2312" w:cs="Times New Roman"/>
          <w:sz w:val="32"/>
          <w:szCs w:val="32"/>
        </w:rPr>
        <w:t>万元（其中：公务用车购置费为</w:t>
      </w:r>
      <w:r>
        <w:rPr>
          <w:rFonts w:hint="eastAsia" w:ascii="Times New Roman" w:hAnsi="Times New Roman"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cs="Times New Roman"/>
          <w:sz w:val="32"/>
          <w:szCs w:val="32"/>
          <w:lang w:val="en-US" w:eastAsia="zh-CN"/>
        </w:rPr>
        <w:t>5.99</w:t>
      </w:r>
      <w:r>
        <w:rPr>
          <w:rFonts w:ascii="Times New Roman" w:hAnsi="Times New Roman" w:eastAsia="仿宋_GB2312" w:cs="Times New Roman"/>
          <w:sz w:val="32"/>
          <w:szCs w:val="32"/>
        </w:rPr>
        <w:t>万元)；公务接待费</w:t>
      </w:r>
      <w:r>
        <w:rPr>
          <w:rFonts w:hint="eastAsia" w:ascii="Times New Roman" w:hAnsi="Times New Roman" w:cs="Times New Roman"/>
          <w:sz w:val="32"/>
          <w:szCs w:val="32"/>
          <w:lang w:val="en-US" w:eastAsia="zh-CN"/>
        </w:rPr>
        <w:t>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cs="Times New Roman"/>
          <w:sz w:val="32"/>
          <w:szCs w:val="32"/>
          <w:lang w:val="en-US" w:eastAsia="zh-CN"/>
        </w:rPr>
        <w:t>1.16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cs="Times New Roman"/>
          <w:sz w:val="32"/>
          <w:szCs w:val="32"/>
          <w:highlight w:val="none"/>
          <w:lang w:val="en-US" w:eastAsia="zh-CN"/>
        </w:rPr>
        <w:t>0.66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highlight w:val="none"/>
        </w:rPr>
        <w:t>与2022年相比持平，无增减变化</w:t>
      </w:r>
      <w:r>
        <w:rPr>
          <w:rFonts w:ascii="Times New Roman" w:hAnsi="Times New Roman" w:eastAsia="仿宋_GB2312" w:cs="Times New Roman"/>
          <w:sz w:val="32"/>
          <w:szCs w:val="32"/>
        </w:rPr>
        <w:t>，公务用车运维费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cs="Times New Roman"/>
          <w:sz w:val="32"/>
          <w:szCs w:val="32"/>
          <w:lang w:val="en-US" w:eastAsia="zh-CN"/>
        </w:rPr>
        <w:t>0.66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cs="Times New Roman"/>
          <w:sz w:val="32"/>
          <w:szCs w:val="32"/>
          <w:lang w:val="en-US" w:eastAsia="zh-CN"/>
        </w:rPr>
        <w:t>5</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cs="Times New Roman"/>
          <w:sz w:val="32"/>
          <w:szCs w:val="32"/>
          <w:highlight w:val="none"/>
          <w:lang w:val="en-US" w:eastAsia="zh-CN"/>
        </w:rPr>
        <w:t>0.5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（一）总体绩效目标</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通过加强思想理论建设、强化思想政治工作、强化对外宣传事业、加强舆论舆情引导管理，推进文明城市和精神文明建设工作、推动文化事业产业和文化艺术发展，加强新闻出版管理和版权工作，全力加强公共文化推广及电影行政事务等工作，加强与新华社和河北电视台合作，不断增强香河知名度和美誉度，为加快建设“协同发展示范区、绿色活力幸福城”做出积极贡献。</w:t>
      </w:r>
    </w:p>
    <w:p>
      <w:pPr>
        <w:spacing w:line="584"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（二）分项绩效目标</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1.</w:t>
      </w:r>
      <w:r>
        <w:rPr>
          <w:rFonts w:hint="eastAsia" w:ascii="仿宋_GB2312" w:hAnsi="Calibri" w:eastAsia="仿宋_GB2312" w:cs="Times New Roman"/>
          <w:sz w:val="32"/>
          <w:szCs w:val="32"/>
        </w:rPr>
        <w:t>学习宣传习近平新时代中国特色社会主义思想和党的二十大精神工作</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绩效目标：提高干部群众运用科学理论解决实际问题能力；增强广大干部群众理论自信、道路自信、制度自信，不断巩固全县人民团结奋斗的共同思想基础。</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绩效指标：深入学习宣传贯彻习近平总书记系列重要讲话精神，采用多种形式开展培育和践行社会主义核心价值观宣传教育活动，扎实推进全县理论武装和思想政治工作。</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2.</w:t>
      </w:r>
      <w:r>
        <w:rPr>
          <w:rFonts w:hint="eastAsia" w:ascii="仿宋_GB2312" w:hAnsi="Calibri" w:eastAsia="仿宋_GB2312" w:cs="Times New Roman"/>
          <w:sz w:val="32"/>
          <w:szCs w:val="32"/>
        </w:rPr>
        <w:t>对外宣传香河并保障各类新闻安全和媒体来香采访活动</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绩效目标：指导协调新闻舆论工作，组织系列主题新闻宣传，开展新闻业务调研评议；抓好新闻管理制度和措施落实；组织开展舆情信息收集、分析、研判。</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绩效指标：积极向市委宣传部报送舆情信息，突发事件新闻处置工作，妥善处理负面新闻影响。</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3.</w:t>
      </w:r>
      <w:r>
        <w:rPr>
          <w:rFonts w:hint="eastAsia" w:ascii="仿宋_GB2312" w:hAnsi="Calibri" w:eastAsia="仿宋_GB2312" w:cs="Times New Roman"/>
          <w:sz w:val="32"/>
          <w:szCs w:val="32"/>
        </w:rPr>
        <w:t>文明城市创建和精神文明建设活动及文明单位的评选活动</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绩效目标：规划部署全县精神文明创建工作，组织指导全县群众性精神文明创建活动，加强精神文明建设，形成良好的社会风气，不断提高公民素质和文化生活质量水平</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绩效指标：部署全县精神文明创建和文明城市创建工作，推动文明城市创建工作常态化建设，积极开展各项主题活动,未成年人思想道德建设活动和文明城市创建等活动。</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4.</w:t>
      </w:r>
      <w:r>
        <w:rPr>
          <w:rFonts w:hint="eastAsia" w:ascii="仿宋_GB2312" w:hAnsi="Calibri" w:eastAsia="仿宋_GB2312" w:cs="Times New Roman"/>
          <w:sz w:val="32"/>
          <w:szCs w:val="32"/>
        </w:rPr>
        <w:t>对文化产业发展进行引导</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绩效目标：完善文化管理体制，建立健全现代文化市场体系，推动国有文化企业公司建立现代企业制度，监管县级文化企业国有资产。 </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绩效指标：落实文化体制改革任务，督导协调市级国有文化企业，保证各项改革政策落实到位；文化事业产业类资金吸引吸收社会资金进行文化事业产业发展的比例。</w:t>
      </w:r>
    </w:p>
    <w:p>
      <w:pPr>
        <w:spacing w:line="584"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（三）工作保障措施</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1.</w:t>
      </w:r>
      <w:r>
        <w:rPr>
          <w:rFonts w:hint="eastAsia" w:ascii="仿宋_GB2312" w:hAnsi="Calibri" w:eastAsia="仿宋_GB2312" w:cs="Times New Roman"/>
          <w:sz w:val="32"/>
          <w:szCs w:val="32"/>
        </w:rPr>
        <w:t>通过规划组织思想政治工作，不断深化中国特色社会主义学习教育，深化中国梦宣传教育，深入开展爱国主义教育，加强思想政治工作，推进企事业单位人文关怀和心理疏导工作，培育自尊自信、理性平和、积极向上的社会心态。</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2.</w:t>
      </w:r>
      <w:r>
        <w:rPr>
          <w:rFonts w:hint="eastAsia" w:ascii="仿宋_GB2312" w:hAnsi="Calibri" w:eastAsia="仿宋_GB2312" w:cs="Times New Roman"/>
          <w:sz w:val="32"/>
          <w:szCs w:val="32"/>
        </w:rPr>
        <w:t>通过指导协调宣传思想文化事业发展，推进各类公共文体设施和服务资源整合，构建现代公共文化服务体系；加大优质文化产品和服务供给，广泛开展群众文化活动，满足群众日益增长的精神文化需求。</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3.</w:t>
      </w:r>
      <w:r>
        <w:rPr>
          <w:rFonts w:hint="eastAsia" w:ascii="仿宋_GB2312" w:hAnsi="Calibri" w:eastAsia="仿宋_GB2312" w:cs="Times New Roman"/>
          <w:sz w:val="32"/>
          <w:szCs w:val="32"/>
        </w:rPr>
        <w:t>通过指导协调对外宣传事业发展，邀请省以上大报台及国外媒体对香河进行采访报道，对外讲好香河故事，塑造香河良好形象，打造城市品牌，营造有利于香河发展的舆论环境。</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4.</w:t>
      </w:r>
      <w:r>
        <w:rPr>
          <w:rFonts w:hint="eastAsia" w:ascii="仿宋_GB2312" w:hAnsi="Calibri" w:eastAsia="仿宋_GB2312" w:cs="Times New Roman"/>
          <w:sz w:val="32"/>
          <w:szCs w:val="32"/>
        </w:rPr>
        <w:t>通过加强舆论舆情引导管理，宏观指导协调互联网宣传和信息内容管理，牢牢把握正确舆论导向，唱响主旋律、传播正能量。及时把握舆情动向，做好热点焦点问题的舆论引导，注重理顺情绪，化解矛盾。加快推动媒体融合发展，增强主流媒体的传播力公信力影响力。</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5.</w:t>
      </w:r>
      <w:r>
        <w:rPr>
          <w:rFonts w:hint="eastAsia" w:ascii="仿宋_GB2312" w:hAnsi="Calibri" w:eastAsia="仿宋_GB2312" w:cs="Times New Roman"/>
          <w:sz w:val="32"/>
          <w:szCs w:val="32"/>
        </w:rPr>
        <w:t>通过加强精神文明建设，做好未成年人思想道德建设工作，使社会主义核心价值观成为引导人们前进的强大精神动力。精心组织创建文明城市、文明村镇、文明单位、文明校园、文明家庭等群众性精神文明创建活动，大力推动学雷锋志愿服务和未成年人思想道德建设，营造文明和谐的社会环境 。</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6.</w:t>
      </w:r>
      <w:r>
        <w:rPr>
          <w:rFonts w:hint="eastAsia" w:ascii="仿宋_GB2312" w:hAnsi="Calibri" w:eastAsia="仿宋_GB2312" w:cs="Times New Roman"/>
          <w:sz w:val="32"/>
          <w:szCs w:val="32"/>
        </w:rPr>
        <w:t>通过深化文化体制改革，积极稳妥地推进文化事业单位改革、转变文化行政管理部门职能、完善现代文化市场体系，推动文化产业持续健康发展，成为全县经济支柱性产业。</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7.</w:t>
      </w:r>
      <w:r>
        <w:rPr>
          <w:rFonts w:hint="eastAsia" w:ascii="仿宋_GB2312" w:hAnsi="Calibri" w:eastAsia="仿宋_GB2312" w:cs="Times New Roman"/>
          <w:sz w:val="32"/>
          <w:szCs w:val="32"/>
        </w:rPr>
        <w:t>通过宏观指导精神产品创作生产，坚持以人民为中心的创作导向，把抓作品质量放在第一位，传承优秀传统文化，反映社会主流思想，推出更多弘扬时代精神的文化创新成果，增强香河文化产品的影响力和感召力，努力推动香河文化发展繁荣。</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8.</w:t>
      </w:r>
      <w:r>
        <w:rPr>
          <w:rFonts w:hint="eastAsia" w:ascii="仿宋_GB2312" w:hAnsi="Calibri" w:eastAsia="仿宋_GB2312" w:cs="Times New Roman"/>
          <w:sz w:val="32"/>
          <w:szCs w:val="32"/>
        </w:rPr>
        <w:t>通过开展会议组织管理、财务资产管理、干部人才队伍建设、机关党建等工作，实施基层文化队伍培训工程，加强宣传文化系统领导班子和干部队伍建设，保证宣传思想文化各项工作规范运转、有序推进。</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0" w:name="_Toc_4_4_0000000004"/>
      <w:r>
        <w:rPr>
          <w:rFonts w:ascii="方正仿宋_GBK" w:hAnsi="方正仿宋_GBK" w:eastAsia="方正仿宋_GBK" w:cs="方正仿宋_GBK"/>
          <w:color w:val="000000"/>
          <w:kern w:val="0"/>
          <w:sz w:val="28"/>
          <w:lang w:eastAsia="uk-UA"/>
        </w:rPr>
        <w:t>1.党报党刊征订工作经费绩效目标表</w:t>
      </w:r>
      <w:bookmarkEnd w:id="0"/>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13102423P00000210025E</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党报党刊征订工作经费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通过项目的开展，根据2023年日常工作需求，完成征订、发放重点党报党刊任务，满足日常订阅工作需求。</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通过项目的开展，根据2023年日常工作需求，完成征订、发放重点党报党刊任务，满足日常订阅工作需求。</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征订党报党刊种类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征订党报党刊种类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报刊订阅覆盖财政拨款单位率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报刊订阅覆盖财政拨款单位率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党报党刊覆盖月数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党报党刊覆盖月数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考察项目投入总成本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≤6.67万元/月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满足日常办公阅读需求</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是否满足日常办公阅读需求</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有效满足</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推动中央和省、市重大方针政策的贯彻落实</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是否推动中央和省、市重大方针政策的贯彻落实</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有效推进</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杂志、报刊订阅单位满意度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考察杂志、报刊订阅单位满意度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 w:name="_Toc_4_4_0000000005"/>
      <w:r>
        <w:rPr>
          <w:rFonts w:ascii="方正仿宋_GBK" w:hAnsi="方正仿宋_GBK" w:eastAsia="方正仿宋_GBK" w:cs="方正仿宋_GBK"/>
          <w:color w:val="000000"/>
          <w:kern w:val="0"/>
          <w:sz w:val="28"/>
          <w:lang w:eastAsia="uk-UA"/>
        </w:rPr>
        <w:t>2.国防教育经费绩效目标表</w:t>
      </w:r>
      <w:bookmarkEnd w:id="1"/>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13102423P000002100262</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国防教育经费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开展国防教育相关活动。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1.开展国防教育相关活动。</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国防教育项目</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开展国防教育次数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宣传品验收合格情况</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及时完成工作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单次项目成本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项目开展过程中的平均项目成本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根据预算明细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树立国防意识，增强国防观念</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国防知识知晓率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长效管理机制健全性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考核项目单位相关管理机制建立健全情况</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健全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 w:name="_Toc_4_4_0000000006"/>
      <w:r>
        <w:rPr>
          <w:rFonts w:ascii="方正仿宋_GBK" w:hAnsi="方正仿宋_GBK" w:eastAsia="方正仿宋_GBK" w:cs="方正仿宋_GBK"/>
          <w:color w:val="000000"/>
          <w:kern w:val="0"/>
          <w:sz w:val="28"/>
          <w:lang w:eastAsia="uk-UA"/>
        </w:rPr>
        <w:t>3.基层宣教工作经费绩效目标表</w:t>
      </w:r>
      <w:bookmarkEnd w:id="2"/>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13102423P00000210027M</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基层宣教工作经费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组织开展社会主义核心价值观主题微电影征集展示，“中国梦”群众性主题宣传教育活动，香河好故事比赛等活动，积极组织开展丰富多样的群众性基层教育活动和农村文化礼堂、社区文化家园创建工作，加强市级爱国主义教育基地建设等工作。</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组织开展社会主义核心价值观主题微电影征集展示，“中国梦”群众性主题宣传教育活动，香河好故事比赛等活动，积极组织开展丰富多样的群众性基层教育活动和农村文化礼堂、社区文化家园创建工作，加强市级爱国主义教育基地建设等工作。</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活动次数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举办活动次数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活动人数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活动受众人数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活动完成时间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按工作计划及时完成</w:t>
            </w:r>
          </w:p>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单位活动成本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平均单次活动成本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通过项目实施加强中国梦宣传教育，培育和践行社会主义核心价值观</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凝聚社会正能量，将干部群众的思想统一到加快香河的发展上来。</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起到一定的社会效益</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让时代新风有力弘扬，让宣传阵地壮大巩固</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推动形成健康文明</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起到一定的可持续影响</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活动开展满意度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活动参与人员对活动开展满意度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3" w:name="_Toc_4_4_0000000007"/>
      <w:r>
        <w:rPr>
          <w:rFonts w:ascii="方正仿宋_GBK" w:hAnsi="方正仿宋_GBK" w:eastAsia="方正仿宋_GBK" w:cs="方正仿宋_GBK"/>
          <w:color w:val="000000"/>
          <w:kern w:val="0"/>
          <w:sz w:val="28"/>
          <w:lang w:eastAsia="uk-UA"/>
        </w:rPr>
        <w:t>4.冀财教【2022】151号关于提前下达2023年中央支持地方公共文化服务体系建设专项资金预算的通知-公益电影放映绩效目标表</w:t>
      </w:r>
      <w:bookmarkEnd w:id="3"/>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13102423P00000110049Y</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冀财教【2022】151号关于提前下达2023年中央支持地方公共文化服务体系建设专项资金预算的通知-公益电影放映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为保障群众基本文化权利，播放公益电影1000余场次</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1.为保障群众基本文化权利，播放公益电影1000余场次</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播放场次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播放质量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播放合格率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≤300元/场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促进电影发展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丰富群众文化生活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丰富群众文化生活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4" w:name="_Toc_4_4_0000000008"/>
      <w:r>
        <w:rPr>
          <w:rFonts w:ascii="方正仿宋_GBK" w:hAnsi="方正仿宋_GBK" w:eastAsia="方正仿宋_GBK" w:cs="方正仿宋_GBK"/>
          <w:color w:val="000000"/>
          <w:kern w:val="0"/>
          <w:sz w:val="28"/>
          <w:lang w:eastAsia="uk-UA"/>
        </w:rPr>
        <w:t>5.冀财教【2022】151号关于提前下达2023年中央支持地方公共文化服务体系建设专项资金预算的通知-农家书屋建设项目绩效目标表</w:t>
      </w:r>
      <w:bookmarkEnd w:id="4"/>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13102423P00000110048B</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冀财教【2022】151号关于提前下达2023年中央支持地方公共文化服务体系建设专项资金预算的通知-农家书屋建设项目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确保农家书屋图书按时更新。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1.确保农家书屋图书按时更新。</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图书采购</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每个行政村至少增加50本图书，共完成300个行政村农家书屋的图书采购</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≥1500本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验收合格率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≤300元/本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推动地方公共服务体系建设</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推动地方公共服务体系建设</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保障群众基本文化权益</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保障群众基本文化权益</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5" w:name="_Toc_4_4_0000000009"/>
      <w:r>
        <w:rPr>
          <w:rFonts w:ascii="方正仿宋_GBK" w:hAnsi="方正仿宋_GBK" w:eastAsia="方正仿宋_GBK" w:cs="方正仿宋_GBK"/>
          <w:color w:val="000000"/>
          <w:kern w:val="0"/>
          <w:sz w:val="28"/>
          <w:lang w:eastAsia="uk-UA"/>
        </w:rPr>
        <w:t>6.冀财教【2022】185号关于提前下达2023年中央补助地方公共文化服务体系建设补助资金（新时代文明实践中心建设项目）的通知绩效目标表</w:t>
      </w:r>
      <w:bookmarkEnd w:id="5"/>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13102423P00000110050A</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冀财教【2022】185号关于提前下达2023年中央补助地方公共文化服务体系建设补助资金（新时代文明实践中心建设项目）的通知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30.50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30.50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促进地方新时代文明实践中心建设</w:t>
            </w:r>
            <w:r>
              <w:rPr>
                <w:rFonts w:ascii="方正书宋_GBK" w:hAnsi="方正书宋_GBK" w:eastAsia="方正书宋_GBK" w:cs="方正书宋_GBK"/>
                <w:sz w:val="21"/>
                <w:szCs w:val="24"/>
                <w:lang w:val="en-US" w:eastAsia="uk-UA" w:bidi="ar-SA"/>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1.促进地方新时代文明实践中心建设</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新时代文明实践站建设数量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新时代文明实践站建设数量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≥200个</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开展活动</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开展活动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现有阵地平台整合效果</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现有阵地平台整合效果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投入成本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≥350元/个</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促进新时代文明实践中心建设</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促进新时代文明实践中心建设</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推动理论宣传工作开展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推动理论宣传工作开展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6" w:name="_Toc_4_4_0000000010"/>
      <w:r>
        <w:rPr>
          <w:rFonts w:ascii="方正仿宋_GBK" w:hAnsi="方正仿宋_GBK" w:eastAsia="方正仿宋_GBK" w:cs="方正仿宋_GBK"/>
          <w:color w:val="000000"/>
          <w:kern w:val="0"/>
          <w:sz w:val="28"/>
          <w:lang w:eastAsia="uk-UA"/>
        </w:rPr>
        <w:t>7.冀财教（2022）149号关于提前下达2023年中央补助地方国家电影事业发展专项资金预算的通知绩效目标表</w:t>
      </w:r>
      <w:bookmarkEnd w:id="6"/>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13102423P00000110042M</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冀财教（2022）149号关于提前下达2023年中央补助地方国家电影事业发展专项资金预算的通知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34.00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34.00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资助影院放映国产影片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1.资助影院放映国产影片</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放映国产影片影院家数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放映国产影片影院家数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≥2家</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资助县城影院建设</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资助县城影院建设</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1家</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放映国产影片比例</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放映国产影片比例</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资助国产影片放映</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资助国产影片放映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促进电影事业发展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促进电影事业发展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7" w:name="_Toc_4_4_0000000011"/>
      <w:r>
        <w:rPr>
          <w:rFonts w:ascii="方正仿宋_GBK" w:hAnsi="方正仿宋_GBK" w:eastAsia="方正仿宋_GBK" w:cs="方正仿宋_GBK"/>
          <w:color w:val="000000"/>
          <w:kern w:val="0"/>
          <w:sz w:val="28"/>
          <w:lang w:eastAsia="uk-UA"/>
        </w:rPr>
        <w:t>8.冀财教（2022）186号（专款）关于提前下达2023年省级国家电影事业发展专项资金预算的通知绩效目标表</w:t>
      </w:r>
      <w:bookmarkEnd w:id="7"/>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13102423P000001100393</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冀财教（2022）186号（专款）关于提前下达2023年省级国家电影事业发展专项资金预算的通知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资助影院放映国产影片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1.资助影院放映国产影片</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资助影院数量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资助影院数量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≥3家</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放映国产影片比例</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放映国产影片比例</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资助国产影片放映</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资助国产影片放映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促进电影事业发展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促进电影事业发展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8" w:name="_Toc_4_4_0000000012"/>
      <w:r>
        <w:rPr>
          <w:rFonts w:ascii="方正仿宋_GBK" w:hAnsi="方正仿宋_GBK" w:eastAsia="方正仿宋_GBK" w:cs="方正仿宋_GBK"/>
          <w:color w:val="000000"/>
          <w:kern w:val="0"/>
          <w:sz w:val="28"/>
          <w:lang w:eastAsia="uk-UA"/>
        </w:rPr>
        <w:t>9.冀财教（2022）189号关于提前下达2023年省级公共文化服务体系建设补助资金的通知绩效目标表</w:t>
      </w:r>
      <w:bookmarkEnd w:id="8"/>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13102423P000001100439</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冀财教（2022）189号关于提前下达2023年省级公共文化服务体系建设补助资金的通知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14.65</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14.65</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播放公益电影590场次以上，保障老电影放映员生活补助正常发放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1.播放公益电影590场次以上</w:t>
            </w:r>
          </w:p>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2.保障老电影放映员生活补助正常发放</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播放场次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≥590场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补助人数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放映员补助人数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播放质量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播放合格率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≤300元/场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促进电影发展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丰富群众文化生活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丰富群众文化生活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9" w:name="_Toc_4_4_0000000013"/>
      <w:r>
        <w:rPr>
          <w:rFonts w:ascii="方正仿宋_GBK" w:hAnsi="方正仿宋_GBK" w:eastAsia="方正仿宋_GBK" w:cs="方正仿宋_GBK"/>
          <w:color w:val="000000"/>
          <w:kern w:val="0"/>
          <w:sz w:val="28"/>
          <w:lang w:eastAsia="uk-UA"/>
        </w:rPr>
        <w:t>10.廊坊日报区域版经费绩效目标表</w:t>
      </w:r>
      <w:bookmarkEnd w:id="9"/>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13102423P000002100289</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廊坊日报区域版经费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通过项目的开展，与廊坊日报社签订宣传合同，丰富日常宣传工作形式，及时宣传全县经济、民生、社会发展成果，树立香河良好形象。</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通过项目的开展，与廊坊日报社签订宣传合同，丰富日常宣传工作形式，及时宣传全县经济、民生、社会发展成果，树立香河良好形象。</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对外宣传次数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在廊坊日报专版宣传次数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对外宣传工作质量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稿件内容质量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无误且符合合同要求</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按月刊发</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按月刊发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控制项目投入总成本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宣传全县经济、民生、社会发展成果</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发展成果是否得到有效宣传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有效宣传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实施保障日常宣传工作长期稳定开展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日常宣传工作是否长期稳定开展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稳定开展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考察受益对象满意度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0" w:name="_Toc_4_4_0000000014"/>
      <w:r>
        <w:rPr>
          <w:rFonts w:ascii="方正仿宋_GBK" w:hAnsi="方正仿宋_GBK" w:eastAsia="方正仿宋_GBK" w:cs="方正仿宋_GBK"/>
          <w:color w:val="000000"/>
          <w:kern w:val="0"/>
          <w:sz w:val="28"/>
          <w:lang w:eastAsia="uk-UA"/>
        </w:rPr>
        <w:t>11.理论工作经费绩效目标表</w:t>
      </w:r>
      <w:bookmarkEnd w:id="10"/>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13102423P00000210031U</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理论工作经费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通过组织开展理论学习和理论宣传宣讲等工作，不断提高“学习强国”学习平台使用率，进一步提高全县广大党员干部政治理论水平，不断为建设协同发展示范区、绿色活力幸福城提供有力的智力保障。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1.通过组织开展理论学习和理论宣传宣讲等工作，不断提高“学习强国”学习平台使用率，进一步提高全县广大党员干部政治理论水平，不断为建设协同发展示范区、绿色活力幸福城提供有力的智力保障。</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要点印发期数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印发学习要点期数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学习次数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组织理论学习中心组学习会活动次数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学习宣讲参与率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实际参会人数与预计参会人员</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每月按要求及时印发学习要点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组织宣讲及时性</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重大会议召开后根据上级要求及时组织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学习要点印发成本控制数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项目投入成本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≤3.5万元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宣讲活动预算控制数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项目投入成本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≤3.5万元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通过项目实施起到提高全县广大党员干部政治理论水平</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为建设协同发展示范区 绿色活力幸福城提供有力的智力保障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提供保障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通过项目保障理论学习工作稳定开展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理论学习工作持续开展，不断提升党员干部理论水平，推动党的创新理论入脑入心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提供保障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项目实施预期效果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活动开展满意度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活动参与人员对活动开展满意度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1" w:name="_Toc_4_4_0000000015"/>
      <w:r>
        <w:rPr>
          <w:rFonts w:ascii="方正仿宋_GBK" w:hAnsi="方正仿宋_GBK" w:eastAsia="方正仿宋_GBK" w:cs="方正仿宋_GBK"/>
          <w:color w:val="000000"/>
          <w:kern w:val="0"/>
          <w:sz w:val="28"/>
          <w:lang w:eastAsia="uk-UA"/>
        </w:rPr>
        <w:t>12.农村电影放映员补助资金绩效目标表</w:t>
      </w:r>
      <w:bookmarkEnd w:id="11"/>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13102423P00000210024T</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农村电影放映员补助资金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保障老电影放映员生活补贴正常发放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1.保障老电影放映员生活补贴正常发放</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发放补助人数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发放补助人数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≥45人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符合政策要求比率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符合政策要求比率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发放及时率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发放及时率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每从事农村电影放映工作一年每月补助金额</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20元/人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改善民生</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改善民生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改善</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维护和谐稳定</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维护和谐稳定</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持续进行补助</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2" w:name="_Toc_4_4_0000000016"/>
      <w:r>
        <w:rPr>
          <w:rFonts w:ascii="方正仿宋_GBK" w:hAnsi="方正仿宋_GBK" w:eastAsia="方正仿宋_GBK" w:cs="方正仿宋_GBK"/>
          <w:color w:val="000000"/>
          <w:kern w:val="0"/>
          <w:sz w:val="28"/>
          <w:lang w:eastAsia="uk-UA"/>
        </w:rPr>
        <w:t>13.农村公益电影放映县配套资金绩效目标表</w:t>
      </w:r>
      <w:bookmarkEnd w:id="12"/>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13102423P00000610007L</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农村公益电影放映县配套资金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24.13</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24.13</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通过电影进农村工程的开展实现乡村振兴战略，保障文化惠民工程的实现。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1.通过电影进农村工程的开展实现乡村振兴战略，保障文化惠民工程的实现。</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电影播放场次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组织电影播放活动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≥1200次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电影播放合格率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播放时长播放地点合格数量/总数量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100比率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播放及时性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每村每月及时播放场次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单位控制成本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单场次项目预算控制成本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冀财教（2012）204号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提高农民文化素质，丰富群众精神文化生活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提高农民群众思想道德、文化素质，丰富农民群众精神文化生活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丰富农民精神文化生活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w:t>
            </w:r>
          </w:p>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促进农村经济社会和谐发展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发展农村先进文化，促进农村经济社会和谐发展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持续播映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受益群众满意度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受益群众满意度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依据实际调查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3" w:name="_Toc_4_4_0000000017"/>
      <w:r>
        <w:rPr>
          <w:rFonts w:ascii="方正仿宋_GBK" w:hAnsi="方正仿宋_GBK" w:eastAsia="方正仿宋_GBK" w:cs="方正仿宋_GBK"/>
          <w:color w:val="000000"/>
          <w:kern w:val="0"/>
          <w:sz w:val="28"/>
          <w:lang w:eastAsia="uk-UA"/>
        </w:rPr>
        <w:t>14.农家书屋县配套资金绩效目标表</w:t>
      </w:r>
      <w:bookmarkEnd w:id="13"/>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13102423P000006100061</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农家书屋县配套资金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通过项目的开展解决农村基层公共文化服务体系建设资金短缺问题，确保广大农村居民能够享受到农家书屋等基本文化权益。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通过项目的开展解决农村基层公共文化服务体系建设资金短缺问题，确保广大农村居民能够享受到农家书屋等基本文化权益。</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图书采购</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每个行政村至少增加60本图书，共完成300个行政村，农家书屋的图书采购数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≥18000本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图书验收合格率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100合格率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项目立项申请</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项目立项申请</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2023年3月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招投标工作</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完成项目招标工作，确认项目供应商，并签订项目合同</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2023年5-10月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图书配送并验收</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图书配送并验收</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2023年11月份</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年度工作总结</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年度工作总结</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平均单本图书补助款</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≤16.67元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满足群众的精神文化需求</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图书阅读人次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≥36000人次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培养全民阅读的良好风气</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培养全民阅读的良好风气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有一定的可持续影响</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人民群众满意度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考察人民群众满意度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4" w:name="_Toc_4_4_0000000018"/>
      <w:r>
        <w:rPr>
          <w:rFonts w:ascii="方正仿宋_GBK" w:hAnsi="方正仿宋_GBK" w:eastAsia="方正仿宋_GBK" w:cs="方正仿宋_GBK"/>
          <w:color w:val="000000"/>
          <w:kern w:val="0"/>
          <w:sz w:val="28"/>
          <w:lang w:eastAsia="uk-UA"/>
        </w:rPr>
        <w:t>15.培训工作经费绩效目标表</w:t>
      </w:r>
      <w:bookmarkEnd w:id="14"/>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13102423P00000210029W</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通过开展培训工作，深入学习贯彻习近平新时代中国特色社会主义思想，贯彻落实党的二十大精神，贯彻落实党中央和省、市、县委关于全面推进乡村振兴、加强精神文明建设、防范化解意识形态领域风险等要求。</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开展培训工作，深入学习贯彻习近平新时代中国特色社会主义思想，贯彻落实党的二十大精神，贯彻落实党中央和省、市、县委关于全面推进乡村振兴、加强精神文明建设、防范化解意识形态领域风险等要求。</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培训期数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开展培训期数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培训覆盖人次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培训覆盖人次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≥600人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完成培训时间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每期培训成本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提高党员干部思想理论水平</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应培训人员参与率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提升基层治理能力和水平</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提升基层治理能力和水平</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参加培训学员满意度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5" w:name="_Toc_4_4_0000000019"/>
      <w:r>
        <w:rPr>
          <w:rFonts w:ascii="方正仿宋_GBK" w:hAnsi="方正仿宋_GBK" w:eastAsia="方正仿宋_GBK" w:cs="方正仿宋_GBK"/>
          <w:color w:val="000000"/>
          <w:kern w:val="0"/>
          <w:sz w:val="28"/>
          <w:lang w:eastAsia="uk-UA"/>
        </w:rPr>
        <w:t>16.群众性精神文明建设活动经费绩效目标表</w:t>
      </w:r>
      <w:bookmarkEnd w:id="15"/>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13102423P00000210032F</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群众性精神文明建设活动经费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通过组织开展群众性精神文明建设活动和文明单位创建等工作，进一步提高全县人民的文明素质，推进各单位精神文明建设工作，积极培育和践行社会主义核心价值观，充分发挥群众的积极性和文明单位在全县精神文明建设工作中的示范带动作用，助力文明县城创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组织开展群众性精神文明建设活动和文明单位创建等工作，进一步提高全县人民的文明素质，推进各单位精神文明建设工作，积极培育和践行社会主义核心价值观，充分发挥群众的积极性和文明单位在全县精神文明建设工作中的示范带动作用，助力文明县城创建。</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举办活动</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文明单位验收合格率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文明单位验收合格率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测评标准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创建周期</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创建周期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项目总投入金额</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参与宣传活动人次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考察参与精神文明建设宣传活动人次情况</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加强全县各单位精神文明建设</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是否加强全县各单位精神文明建设</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活动开展满意度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各单位满意度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6" w:name="_Toc_4_4_0000000020"/>
      <w:r>
        <w:rPr>
          <w:rFonts w:ascii="方正仿宋_GBK" w:hAnsi="方正仿宋_GBK" w:eastAsia="方正仿宋_GBK" w:cs="方正仿宋_GBK"/>
          <w:color w:val="000000"/>
          <w:kern w:val="0"/>
          <w:sz w:val="28"/>
          <w:lang w:eastAsia="uk-UA"/>
        </w:rPr>
        <w:t>17.日常宣传工作经费绩效目标表</w:t>
      </w:r>
      <w:bookmarkEnd w:id="16"/>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13102423P000002100333</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日常宣传工作经费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开展各项宣传工作，维持宣传部各项工作正常运转，组织全民深入学习宣传习近平新时代中国特色社会主义思想，统筹协调推进宣传思想文化领域法制建设等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开展各项宣传工作，维持宣传部各项工作正常运转，组织全民深入学习宣传习近平新时代中国特色社会主义思想，统筹协调推进宣传思想文化领域法制建设等</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印制工作刊物</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印制工作刊物</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制作宣传品</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制作宣传品</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≥4000份</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宣传活动</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宣传活动举办次数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宣传材料、宣传品印刷制作质量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宣传活动参与人数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活动参与人数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维持运转时间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项目投入总成本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提升群众思想道德素质</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是否提升群众思想道德素质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保障宣传工作长期稳定开展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保障日常工作开展，满足宣传工作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有效保障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工作开展满意度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材料使用者、活动参与者开展满意度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7" w:name="_Toc_4_4_0000000021"/>
      <w:r>
        <w:rPr>
          <w:rFonts w:ascii="方正仿宋_GBK" w:hAnsi="方正仿宋_GBK" w:eastAsia="方正仿宋_GBK" w:cs="方正仿宋_GBK"/>
          <w:color w:val="000000"/>
          <w:kern w:val="0"/>
          <w:sz w:val="28"/>
          <w:lang w:eastAsia="uk-UA"/>
        </w:rPr>
        <w:t>18.扫黄打非工作经费绩效目标表</w:t>
      </w:r>
      <w:bookmarkEnd w:id="17"/>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13102423P00000210035A</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扫黄打非工作经费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开展扫黄打非宣传和督导活动。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1.开展扫黄打非宣传和督导活动。</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开展宣传活动</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开展宣传活动次数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印制宣传资料</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印制宣传资料册数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≥2万册</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开展“扫黄打非”督导企业、书店等</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开展“扫黄打非”督导企业、书店等家数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≥30家次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宣传资料验收合格率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考察招宣传资料印制质量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项目完成及时性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考察项目能否按工作计划完成</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月均项目预算控制数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月均项目预算控制数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≤0.84万元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根据申报总额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宣传活动规模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宣传活动覆盖总人次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持续扩大“扫黄打非”影响力，规范文化市场</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持续扩大“扫黄打非”影响力，规范文化市场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起到一定的可持续影响</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人民群众满意度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人民群众满意度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8" w:name="_Toc_4_4_0000000022"/>
      <w:r>
        <w:rPr>
          <w:rFonts w:ascii="方正仿宋_GBK" w:hAnsi="方正仿宋_GBK" w:eastAsia="方正仿宋_GBK" w:cs="方正仿宋_GBK"/>
          <w:color w:val="000000"/>
          <w:kern w:val="0"/>
          <w:sz w:val="28"/>
          <w:lang w:eastAsia="uk-UA"/>
        </w:rPr>
        <w:t>19.文化产业发展引导资金绩效目标表</w:t>
      </w:r>
      <w:bookmarkEnd w:id="18"/>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13102423P00000210042B</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文化产业发展引导资金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推动文化产业发展繁荣，提升文化影响力。</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1.推动文化产业发展繁荣，提升文化影响力。</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文化项目</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引导扶持个数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≥6个</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扶持项目合格率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扶持项目符合政策要求</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香财教（2021） 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扶持资金拨付的及时率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单个项目扶持资金</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单个项目扶持资金额度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推动文化产业发展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引导社会资金投入文化产业发展，提升文化产业自主创新能力和市场竞争力使，文化产业发展取得较大提高。</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引导资金投入</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群众文化生活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丰富人民群众文化生活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企业满意度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扶持企业满意度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9" w:name="_Toc_4_4_0000000023"/>
      <w:r>
        <w:rPr>
          <w:rFonts w:ascii="方正仿宋_GBK" w:hAnsi="方正仿宋_GBK" w:eastAsia="方正仿宋_GBK" w:cs="方正仿宋_GBK"/>
          <w:color w:val="000000"/>
          <w:kern w:val="0"/>
          <w:sz w:val="28"/>
          <w:lang w:eastAsia="uk-UA"/>
        </w:rPr>
        <w:t>20.文化活动经费绩效目标表</w:t>
      </w:r>
      <w:bookmarkEnd w:id="19"/>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13102423P00000210036X</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文化活动经费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11.85</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11.85</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提高全县人民的文化素质，增强全县文化凝聚力。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1.提高全县人民的文化素质，增强全县文化凝聚力。</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活动开展次数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组织开展相关活动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活动参与度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活动参与度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≥90比率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开展活动时间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开展活动时间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平均单项活动成本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≤1.69万元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丰富人民群众文化生活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丰富人民群众文化生活，营造节日氛围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举办活动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促进全县社会文化和谐发展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发展全县先进文化，促进全县社会文化和谐发展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有一点可持续影响</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受益群众满意度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受益群众满意度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0" w:name="_Toc_4_4_0000000024"/>
      <w:r>
        <w:rPr>
          <w:rFonts w:ascii="方正仿宋_GBK" w:hAnsi="方正仿宋_GBK" w:eastAsia="方正仿宋_GBK" w:cs="方正仿宋_GBK"/>
          <w:color w:val="000000"/>
          <w:kern w:val="0"/>
          <w:sz w:val="28"/>
          <w:lang w:eastAsia="uk-UA"/>
        </w:rPr>
        <w:t>21.文明县城创建经费绩效目标表</w:t>
      </w:r>
      <w:bookmarkEnd w:id="20"/>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13102423P00000210037H</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文明县城创建经费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398.00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398.00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开展文明县城创建工作。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1.开展文明县城创建工作。</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布设公益广告数量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布设公益广告数量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≥8000幅</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公益广告形式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公益广告形式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≥5种</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受众人数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受众人数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≥5万人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公益广告宣传周期</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布设公益广告宣传周期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项目总投入金额</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≤398万元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创建文明县城</w:t>
            </w:r>
          </w:p>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受众人数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考察创建文明县城</w:t>
            </w:r>
          </w:p>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受众人数情况</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≥5万人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进一步提高县城人民的生活环境</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是否进一步提高县城人民的生活环境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有效提高</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依据工作结果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受益群体满意度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考察受益群众满意度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1" w:name="_Toc_4_4_0000000025"/>
      <w:r>
        <w:rPr>
          <w:rFonts w:ascii="方正仿宋_GBK" w:hAnsi="方正仿宋_GBK" w:eastAsia="方正仿宋_GBK" w:cs="方正仿宋_GBK"/>
          <w:color w:val="000000"/>
          <w:kern w:val="0"/>
          <w:sz w:val="28"/>
          <w:lang w:eastAsia="uk-UA"/>
        </w:rPr>
        <w:t>22.香河县文艺人才培育资金绩效目标表</w:t>
      </w:r>
      <w:bookmarkEnd w:id="21"/>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13102423P00000210041P</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香河县文艺人才培育资金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通过项目的开展实现进一步吸引、培养、用好文艺人才，有效激发文艺人才不断创新，充分实现人才价值，推动香河县文化建设和文艺繁荣发展。</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1.通过项目的开展实现进一步吸引、培养、用好文艺人才，有效激发文艺人才不断创新，充分实现人才价值，推动香河县文化建设和文艺繁荣发展。</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文化单位或个人</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扶持奖励个数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≥10个</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《香河县文艺人才培育资金使用管理办法》（草案）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符合政策</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符合政策率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《香河县文艺人才培育资金使用管理办法》（草案）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资金拨付的及时率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工作要求</w:t>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考察项目投入总成本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推动文化艺术繁荣发展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进一步吸引、培养、用好文艺人才，有效激发文艺人才不断创新，充分实现人才价值</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资金投入</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丰富群众文化生活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丰富群众文化生活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2" w:name="_Toc_4_4_0000000026"/>
      <w:r>
        <w:rPr>
          <w:rFonts w:ascii="方正仿宋_GBK" w:hAnsi="方正仿宋_GBK" w:eastAsia="方正仿宋_GBK" w:cs="方正仿宋_GBK"/>
          <w:color w:val="000000"/>
          <w:kern w:val="0"/>
          <w:sz w:val="28"/>
          <w:lang w:eastAsia="uk-UA"/>
        </w:rPr>
        <w:t>23.新闻宣传工作经费绩效目标表</w:t>
      </w:r>
      <w:bookmarkEnd w:id="22"/>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13102423P000002100385</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新闻宣传工作经费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25.00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25.00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通过项目开展，在中央、省市各级各类媒体发布稿件，提升香河对外形象。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通过项目开展，在中央、省市各级各类媒体发布稿件，提升香河对外形象。</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稿件发布数量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发布数量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稿件发布质量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稿件发布媒体</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须是中央、省、市级各类媒体</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项目实施工作进度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项目实施工作进度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项目投入总成本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≤25万元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提升香河对外形象，扩大香河对外影响力</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提升香河美誉度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维持日常工作正常运转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是否维持日常工作正常运转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有效维持</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考察受益对象满意度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3" w:name="_Toc_4_4_0000000027"/>
      <w:r>
        <w:rPr>
          <w:rFonts w:ascii="方正仿宋_GBK" w:hAnsi="方正仿宋_GBK" w:eastAsia="方正仿宋_GBK" w:cs="方正仿宋_GBK"/>
          <w:color w:val="000000"/>
          <w:kern w:val="0"/>
          <w:sz w:val="28"/>
          <w:lang w:eastAsia="uk-UA"/>
        </w:rPr>
        <w:t>24.新闻应急工作经费绩效目标表</w:t>
      </w:r>
      <w:bookmarkEnd w:id="23"/>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13102423P00000210039Q</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新闻应急工作经费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通过项目的开展，增强工作的前瞻性和时效性，预防、减少和消除突发重大舆情造成的负面影响以及做好其他新闻应急宣传工作。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通过项目的开展，增强工作的前瞻性和时效性，预防、减少和消除突发重大舆情造成的负面影响以及做好其他新闻应急宣传工作。</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突发重大舆情应对</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处置数量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1件</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开展应急宣传工作</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舆情应急处置工作完成率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维持运转时间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考察项目投入总成本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参加宣传工作人次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考察参加宣传工作人次情况</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提升党政干部舆情应对能力</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考察党政干部舆情应对能力是否有效提升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社会公众满意度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考察社会公众满意度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4" w:name="_Toc_4_4_0000000028"/>
      <w:r>
        <w:rPr>
          <w:rFonts w:ascii="方正仿宋_GBK" w:hAnsi="方正仿宋_GBK" w:eastAsia="方正仿宋_GBK" w:cs="方正仿宋_GBK"/>
          <w:color w:val="000000"/>
          <w:kern w:val="0"/>
          <w:sz w:val="28"/>
          <w:lang w:eastAsia="uk-UA"/>
        </w:rPr>
        <w:t>25.与新闻媒体合作经费绩效目标表</w:t>
      </w:r>
      <w:bookmarkEnd w:id="24"/>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13102423P000002100404</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与新闻媒体合作经费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通过项目实施开展日常宣传工作，加大对香河的对外宣传力度，不断提升香河的知名度和美誉度。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1.通过项目实施开展日常宣传工作，加大对香河的对外宣传力度，不断提升香河的知名度和美誉度。</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对外宣传次数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河北电视台宣传次数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≥26次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舆情应对处理培训</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新华社等中央媒体发稿</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每月发稿</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对外宣传工作质量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稿件内容质量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无误且符合合同要求</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培训参与率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实际人数与预计参与人数比例</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维持运转时间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电视台宣传成本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考察电视台宣传成本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其他中、省、市级媒体合作</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考察其他媒体发稿及视频制作成本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新华社发稿及制作成本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考察新华社等中央媒体发稿及制作成本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宣传全县经济、民生、社会发展成果</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发展成果是否得到有效宣传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有效宣传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提升党政干部舆情应对能力</w:t>
            </w:r>
          </w:p>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考察党政干部舆情应对能力是否有效提升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考察社会公众满意度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考察社会公众满意度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5" w:name="_Toc_4_4_0000000029"/>
      <w:r>
        <w:rPr>
          <w:rFonts w:ascii="方正仿宋_GBK" w:hAnsi="方正仿宋_GBK" w:eastAsia="方正仿宋_GBK" w:cs="方正仿宋_GBK"/>
          <w:color w:val="000000"/>
          <w:kern w:val="0"/>
          <w:sz w:val="28"/>
          <w:lang w:eastAsia="uk-UA"/>
        </w:rPr>
        <w:t>26.正版办公软件使用服务费绩效目标表</w:t>
      </w:r>
      <w:bookmarkEnd w:id="25"/>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024"/>
        <w:gridCol w:w="2024"/>
        <w:gridCol w:w="2024"/>
        <w:gridCol w:w="2024"/>
        <w:gridCol w:w="2027"/>
        <w:gridCol w:w="20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13102423P00000210034N</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3"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正版办公软件使用服务费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20.00</w:t>
            </w:r>
          </w:p>
        </w:tc>
        <w:tc>
          <w:tcPr>
            <w:tcW w:w="715"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通过项目实施，实现县级政府机关和事业单位计算机办公软件正版授权全覆盖。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9"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9"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1.通过项目实施，实现县级政府机关和事业单位计算机办公软件正版授权全覆盖。</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024"/>
        <w:gridCol w:w="2024"/>
        <w:gridCol w:w="4048"/>
        <w:gridCol w:w="2024"/>
        <w:gridCol w:w="20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场地授权单位数量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当年场地授权单位数量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≥55个</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正版办公软件覆盖率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正版办公软件覆盖率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遴选第三方服务机构</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遴选第三方服务机构</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2023年6月底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根据上级指示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2023年10月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根据上级指示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提高使用正版软件的意识，提高工作效率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是否提高使用正版软件的意识，提高工作效率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有效提高和保障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保障国家信息安全，确保信息数据安全</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是否保障国家信息安全，确保信息数据安全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有效保障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相关单位满意度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使用单位对软件的评价</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cs="Times New Roman"/>
          <w:sz w:val="32"/>
          <w:szCs w:val="24"/>
          <w:lang w:val="en-US" w:eastAsia="zh-CN"/>
        </w:rPr>
        <w:t>132</w:t>
      </w:r>
      <w:r>
        <w:rPr>
          <w:rFonts w:ascii="Times New Roman" w:hAnsi="Times New Roman" w:eastAsia="仿宋_GB2312" w:cs="Times New Roman"/>
          <w:sz w:val="32"/>
          <w:szCs w:val="24"/>
        </w:rPr>
        <w:t>万元。具体内容见下表。</w:t>
      </w:r>
    </w:p>
    <w:bookmarkEnd w:id="26"/>
    <w:p>
      <w:pPr>
        <w:spacing w:line="584" w:lineRule="exact"/>
        <w:ind w:firstLine="0" w:firstLineChars="0"/>
        <w:jc w:val="left"/>
        <w:outlineLvl w:val="0"/>
        <w:rPr>
          <w:rFonts w:ascii="Times New Roman" w:hAnsi="Times New Roman" w:eastAsia="仿宋_GB2312" w:cs="Times New Roman"/>
          <w:sz w:val="21"/>
          <w:szCs w:val="22"/>
        </w:rPr>
      </w:pPr>
    </w:p>
    <w:p>
      <w:pPr>
        <w:spacing w:line="584" w:lineRule="exact"/>
        <w:ind w:firstLine="0" w:firstLineChars="0"/>
        <w:jc w:val="center"/>
        <w:outlineLvl w:val="1"/>
        <w:rPr>
          <w:rFonts w:ascii="方正小标宋_GBK" w:hAnsi="Calibri" w:eastAsia="方正小标宋_GBK" w:cs="Times New Roman"/>
          <w:sz w:val="32"/>
          <w:szCs w:val="22"/>
        </w:rPr>
      </w:pPr>
      <w:bookmarkStart w:id="27" w:name="_Toc64920910"/>
      <w:r>
        <w:rPr>
          <w:rFonts w:hint="eastAsia" w:ascii="方正小标宋_GBK" w:hAnsi="Calibri" w:eastAsia="方正小标宋_GBK" w:cs="Times New Roman"/>
          <w:sz w:val="32"/>
          <w:szCs w:val="22"/>
          <w:lang w:eastAsia="zh-CN"/>
        </w:rPr>
        <w:t>单位</w:t>
      </w:r>
      <w:r>
        <w:rPr>
          <w:rFonts w:hint="eastAsia" w:ascii="方正小标宋_GBK" w:hAnsi="Calibri" w:eastAsia="方正小标宋_GBK" w:cs="Times New Roman"/>
          <w:sz w:val="32"/>
          <w:szCs w:val="22"/>
        </w:rPr>
        <w:t>政府采购预算</w:t>
      </w:r>
      <w:bookmarkEnd w:id="27"/>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89"/>
        <w:gridCol w:w="959"/>
        <w:gridCol w:w="749"/>
        <w:gridCol w:w="1329"/>
        <w:gridCol w:w="749"/>
        <w:gridCol w:w="1036"/>
        <w:gridCol w:w="881"/>
        <w:gridCol w:w="1062"/>
        <w:gridCol w:w="1062"/>
        <w:gridCol w:w="749"/>
        <w:gridCol w:w="749"/>
        <w:gridCol w:w="749"/>
        <w:gridCol w:w="749"/>
        <w:gridCol w:w="749"/>
        <w:gridCol w:w="750"/>
        <w:gridCol w:w="10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774" w:type="pct"/>
            <w:gridSpan w:val="7"/>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211中共香河县委宣传部</w:t>
            </w:r>
          </w:p>
        </w:tc>
        <w:tc>
          <w:tcPr>
            <w:tcW w:w="2225" w:type="pct"/>
            <w:gridSpan w:val="9"/>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4"/>
                <w:szCs w:val="24"/>
                <w:lang w:val="en-US" w:eastAsia="uk-UA" w:bidi="ar-SA"/>
              </w:rPr>
            </w:pPr>
            <w:r>
              <w:rPr>
                <w:rFonts w:ascii="方正书宋_GBK" w:hAnsi="方正书宋_GBK" w:eastAsia="方正书宋_GBK" w:cs="方正书宋_GBK"/>
                <w:sz w:val="24"/>
                <w:szCs w:val="24"/>
                <w:lang w:val="en-US" w:eastAsia="uk-UA"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46"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政府采购项目来源</w:t>
            </w:r>
          </w:p>
        </w:tc>
        <w:tc>
          <w:tcPr>
            <w:tcW w:w="22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采购物品名称</w:t>
            </w:r>
          </w:p>
        </w:tc>
        <w:tc>
          <w:tcPr>
            <w:tcW w:w="47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政府采购目录序号</w:t>
            </w:r>
          </w:p>
        </w:tc>
        <w:tc>
          <w:tcPr>
            <w:tcW w:w="190"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计量  单位</w:t>
            </w:r>
          </w:p>
        </w:tc>
        <w:tc>
          <w:tcPr>
            <w:tcW w:w="310"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数量</w:t>
            </w:r>
          </w:p>
        </w:tc>
        <w:tc>
          <w:tcPr>
            <w:tcW w:w="227"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单价</w:t>
            </w:r>
          </w:p>
        </w:tc>
        <w:tc>
          <w:tcPr>
            <w:tcW w:w="1898" w:type="pct"/>
            <w:gridSpan w:val="8"/>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政府采购金额（当年</w:t>
            </w:r>
            <w:r>
              <w:rPr>
                <w:rFonts w:hint="eastAsia" w:ascii="方正书宋_GBK" w:hAnsi="方正书宋_GBK" w:eastAsia="方正书宋_GBK" w:cs="方正书宋_GBK"/>
                <w:b/>
                <w:sz w:val="21"/>
                <w:szCs w:val="24"/>
                <w:lang w:val="en-US" w:eastAsia="uk-UA" w:bidi="ar-SA"/>
              </w:rPr>
              <w:t>单位</w:t>
            </w:r>
            <w:r>
              <w:rPr>
                <w:rFonts w:ascii="方正书宋_GBK" w:hAnsi="方正书宋_GBK" w:eastAsia="方正书宋_GBK" w:cs="方正书宋_GBK"/>
                <w:b/>
                <w:sz w:val="21"/>
                <w:szCs w:val="24"/>
                <w:lang w:val="en-US" w:eastAsia="uk-UA" w:bidi="ar-SA"/>
              </w:rPr>
              <w:t>预算安排资金）</w:t>
            </w:r>
          </w:p>
        </w:tc>
        <w:tc>
          <w:tcPr>
            <w:tcW w:w="326"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8" w:hRule="atLeast"/>
          <w:tblHeader/>
          <w:jc w:val="center"/>
        </w:trPr>
        <w:tc>
          <w:tcPr>
            <w:tcW w:w="1077"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6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    资金</w:t>
            </w:r>
          </w:p>
        </w:tc>
        <w:tc>
          <w:tcPr>
            <w:tcW w:w="22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7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90"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310"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227"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325"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325"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一般公共预算拨款</w:t>
            </w:r>
          </w:p>
        </w:tc>
        <w:tc>
          <w:tcPr>
            <w:tcW w:w="8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基金预算拨款</w:t>
            </w:r>
          </w:p>
        </w:tc>
        <w:tc>
          <w:tcPr>
            <w:tcW w:w="319"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国有资本经营预算拨款</w:t>
            </w:r>
          </w:p>
        </w:tc>
        <w:tc>
          <w:tcPr>
            <w:tcW w:w="20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财政专户核拨</w:t>
            </w:r>
          </w:p>
        </w:tc>
        <w:tc>
          <w:tcPr>
            <w:tcW w:w="20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单位    资金</w:t>
            </w:r>
          </w:p>
        </w:tc>
        <w:tc>
          <w:tcPr>
            <w:tcW w:w="13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财政拨    款结转</w:t>
            </w:r>
          </w:p>
        </w:tc>
        <w:tc>
          <w:tcPr>
            <w:tcW w:w="291"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非财政    拨款结    转结余</w:t>
            </w:r>
          </w:p>
        </w:tc>
        <w:tc>
          <w:tcPr>
            <w:tcW w:w="326"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  计</w:t>
            </w:r>
          </w:p>
        </w:tc>
        <w:tc>
          <w:tcPr>
            <w:tcW w:w="268"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24" w:type="pct"/>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474" w:type="pct"/>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190"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p>
        </w:tc>
        <w:tc>
          <w:tcPr>
            <w:tcW w:w="310"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27"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325"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132.00</w:t>
            </w:r>
          </w:p>
        </w:tc>
        <w:tc>
          <w:tcPr>
            <w:tcW w:w="325"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132.00</w:t>
            </w:r>
          </w:p>
        </w:tc>
        <w:tc>
          <w:tcPr>
            <w:tcW w:w="84"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中共香河县委宣传部本级小计</w:t>
            </w:r>
          </w:p>
        </w:tc>
        <w:tc>
          <w:tcPr>
            <w:tcW w:w="268"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24" w:type="pct"/>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474" w:type="pct"/>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190"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p>
        </w:tc>
        <w:tc>
          <w:tcPr>
            <w:tcW w:w="310"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27"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325"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132.00</w:t>
            </w:r>
          </w:p>
        </w:tc>
        <w:tc>
          <w:tcPr>
            <w:tcW w:w="325"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132.00</w:t>
            </w:r>
          </w:p>
        </w:tc>
        <w:tc>
          <w:tcPr>
            <w:tcW w:w="84"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冀财教【2022】151号关于提前下达2023年中央支持地方公共文化服务体系建设专项资金预算的通知-公益电影放映</w:t>
            </w:r>
          </w:p>
        </w:tc>
        <w:tc>
          <w:tcPr>
            <w:tcW w:w="26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c>
          <w:tcPr>
            <w:tcW w:w="22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电影服务</w:t>
            </w:r>
          </w:p>
        </w:tc>
        <w:tc>
          <w:tcPr>
            <w:tcW w:w="47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C06020300</w:t>
            </w:r>
          </w:p>
        </w:tc>
        <w:tc>
          <w:tcPr>
            <w:tcW w:w="190"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场</w:t>
            </w:r>
          </w:p>
        </w:tc>
        <w:tc>
          <w:tcPr>
            <w:tcW w:w="310"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1800</w:t>
            </w:r>
          </w:p>
        </w:tc>
        <w:tc>
          <w:tcPr>
            <w:tcW w:w="227"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0.02</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c>
          <w:tcPr>
            <w:tcW w:w="8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冀财教【2022】151号关于提前下达2023年中央支持地方公共文化服务体系建设专项资金预算的通知-农家书屋建设项目</w:t>
            </w:r>
          </w:p>
        </w:tc>
        <w:tc>
          <w:tcPr>
            <w:tcW w:w="26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22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其他普通图书</w:t>
            </w:r>
          </w:p>
        </w:tc>
        <w:tc>
          <w:tcPr>
            <w:tcW w:w="47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A04010199</w:t>
            </w:r>
          </w:p>
        </w:tc>
        <w:tc>
          <w:tcPr>
            <w:tcW w:w="190"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本</w:t>
            </w:r>
          </w:p>
        </w:tc>
        <w:tc>
          <w:tcPr>
            <w:tcW w:w="310"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16000</w:t>
            </w:r>
          </w:p>
        </w:tc>
        <w:tc>
          <w:tcPr>
            <w:tcW w:w="227"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0.00</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8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冀财教（2022）189号关于提前下达2023年省级公共文化服务体系建设补助资金的通知</w:t>
            </w:r>
          </w:p>
        </w:tc>
        <w:tc>
          <w:tcPr>
            <w:tcW w:w="26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14.65</w:t>
            </w:r>
          </w:p>
        </w:tc>
        <w:tc>
          <w:tcPr>
            <w:tcW w:w="22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电影服务</w:t>
            </w:r>
          </w:p>
        </w:tc>
        <w:tc>
          <w:tcPr>
            <w:tcW w:w="47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C06020300</w:t>
            </w:r>
          </w:p>
        </w:tc>
        <w:tc>
          <w:tcPr>
            <w:tcW w:w="190"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场</w:t>
            </w:r>
          </w:p>
        </w:tc>
        <w:tc>
          <w:tcPr>
            <w:tcW w:w="310"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593.5</w:t>
            </w:r>
          </w:p>
        </w:tc>
        <w:tc>
          <w:tcPr>
            <w:tcW w:w="227"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0.02</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11.87</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11.87</w:t>
            </w:r>
          </w:p>
        </w:tc>
        <w:tc>
          <w:tcPr>
            <w:tcW w:w="8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农村公益电影放映县配套资金</w:t>
            </w:r>
          </w:p>
        </w:tc>
        <w:tc>
          <w:tcPr>
            <w:tcW w:w="26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24.13</w:t>
            </w:r>
          </w:p>
        </w:tc>
        <w:tc>
          <w:tcPr>
            <w:tcW w:w="22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电影服务</w:t>
            </w:r>
          </w:p>
        </w:tc>
        <w:tc>
          <w:tcPr>
            <w:tcW w:w="47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C06020300</w:t>
            </w:r>
          </w:p>
        </w:tc>
        <w:tc>
          <w:tcPr>
            <w:tcW w:w="190"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场</w:t>
            </w:r>
          </w:p>
        </w:tc>
        <w:tc>
          <w:tcPr>
            <w:tcW w:w="310"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1206.5</w:t>
            </w:r>
          </w:p>
        </w:tc>
        <w:tc>
          <w:tcPr>
            <w:tcW w:w="227"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0.02</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24.13</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24.13</w:t>
            </w:r>
          </w:p>
        </w:tc>
        <w:tc>
          <w:tcPr>
            <w:tcW w:w="8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农家书屋县配套资金</w:t>
            </w:r>
          </w:p>
        </w:tc>
        <w:tc>
          <w:tcPr>
            <w:tcW w:w="26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22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书籍、课本</w:t>
            </w:r>
          </w:p>
        </w:tc>
        <w:tc>
          <w:tcPr>
            <w:tcW w:w="47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A04010101</w:t>
            </w:r>
          </w:p>
        </w:tc>
        <w:tc>
          <w:tcPr>
            <w:tcW w:w="190"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本</w:t>
            </w:r>
          </w:p>
        </w:tc>
        <w:tc>
          <w:tcPr>
            <w:tcW w:w="310"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16000</w:t>
            </w:r>
          </w:p>
        </w:tc>
        <w:tc>
          <w:tcPr>
            <w:tcW w:w="227"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0.00</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8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r>
    </w:tbl>
    <w:p>
      <w:pPr>
        <w:spacing w:line="584" w:lineRule="exact"/>
        <w:ind w:firstLine="420" w:firstLineChars="0"/>
        <w:rPr>
          <w:rFonts w:ascii="方正仿宋_GBK" w:hAnsi="方正仿宋_GBK" w:eastAsia="方正仿宋_GBK" w:cs="方正仿宋_GBK"/>
          <w:color w:val="000000"/>
          <w:sz w:val="21"/>
          <w:szCs w:val="22"/>
        </w:rPr>
      </w:pPr>
    </w:p>
    <w:p>
      <w:pPr>
        <w:spacing w:line="584" w:lineRule="exact"/>
        <w:ind w:firstLine="420" w:firstLineChars="0"/>
        <w:rPr>
          <w:rFonts w:ascii="方正仿宋_GBK" w:hAnsi="方正仿宋_GBK" w:eastAsia="方正仿宋_GBK" w:cs="方正仿宋_GBK"/>
          <w:color w:val="000000"/>
          <w:sz w:val="21"/>
          <w:szCs w:val="22"/>
        </w:rPr>
      </w:pPr>
      <w:r>
        <w:rPr>
          <w:rFonts w:ascii="方正仿宋_GBK" w:hAnsi="方正仿宋_GBK" w:eastAsia="方正仿宋_GBK" w:cs="方正仿宋_GBK"/>
          <w:color w:val="000000"/>
          <w:sz w:val="21"/>
          <w:szCs w:val="22"/>
        </w:rPr>
        <w:t>注：同一采购目录序号的物品，其单价会因配置规格不同而变动，均符合资产配置标准。涉密采购事项按照相关规定执行。</w:t>
      </w:r>
    </w:p>
    <w:p>
      <w:pPr>
        <w:numPr>
          <w:ilvl w:val="0"/>
          <w:numId w:val="1"/>
        </w:numPr>
        <w:spacing w:line="584" w:lineRule="exact"/>
        <w:ind w:left="0" w:leftChars="0" w:firstLine="640" w:firstLineChars="200"/>
        <w:rPr>
          <w:rFonts w:ascii="Times New Roman" w:hAnsi="黑体" w:eastAsia="黑体" w:cs="Times New Roman"/>
          <w:sz w:val="32"/>
          <w:szCs w:val="32"/>
        </w:rPr>
      </w:pPr>
      <w:r>
        <w:rPr>
          <w:rFonts w:ascii="Times New Roman" w:hAnsi="黑体" w:eastAsia="黑体" w:cs="Times New Roman"/>
          <w:sz w:val="32"/>
          <w:szCs w:val="32"/>
        </w:rPr>
        <w:t>国有资产信息</w:t>
      </w:r>
    </w:p>
    <w:p>
      <w:pPr>
        <w:widowControl w:val="0"/>
        <w:numPr>
          <w:ilvl w:val="0"/>
          <w:numId w:val="0"/>
        </w:numPr>
        <w:spacing w:line="584" w:lineRule="exact"/>
        <w:jc w:val="both"/>
        <w:rPr>
          <w:rFonts w:ascii="Times New Roman" w:hAnsi="黑体" w:eastAsia="黑体" w:cs="Times New Roman"/>
          <w:sz w:val="32"/>
          <w:szCs w:val="32"/>
        </w:rPr>
      </w:pPr>
    </w:p>
    <w:p>
      <w:pPr>
        <w:widowControl w:val="0"/>
        <w:numPr>
          <w:ilvl w:val="0"/>
          <w:numId w:val="0"/>
        </w:numPr>
        <w:spacing w:line="584" w:lineRule="exact"/>
        <w:jc w:val="both"/>
        <w:rPr>
          <w:rFonts w:ascii="Times New Roman" w:hAnsi="黑体" w:eastAsia="黑体" w:cs="Times New Roman"/>
          <w:sz w:val="32"/>
          <w:szCs w:val="32"/>
        </w:rPr>
      </w:pPr>
    </w:p>
    <w:p>
      <w:pPr>
        <w:spacing w:line="584" w:lineRule="exact"/>
        <w:ind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cs="Times New Roman"/>
          <w:sz w:val="32"/>
          <w:szCs w:val="32"/>
          <w:lang w:eastAsia="zh-CN"/>
        </w:rPr>
        <w:t>委宣传部</w:t>
      </w:r>
      <w:r>
        <w:rPr>
          <w:rFonts w:ascii="Times New Roman" w:hAnsi="Times New Roman" w:eastAsia="仿宋_GB2312" w:cs="Times New Roman"/>
          <w:sz w:val="32"/>
          <w:szCs w:val="32"/>
        </w:rPr>
        <w:t>（含所属单位）上年末固定资产金额为</w:t>
      </w:r>
      <w:r>
        <w:rPr>
          <w:rFonts w:hint="eastAsia" w:ascii="Times New Roman" w:hAnsi="Times New Roman" w:cs="Times New Roman"/>
          <w:sz w:val="32"/>
          <w:szCs w:val="32"/>
          <w:lang w:val="en-US" w:eastAsia="zh-CN"/>
        </w:rPr>
        <w:t>62.588098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hint="eastAsia" w:ascii="Times New Roman" w:hAnsi="Times New Roman" w:cs="Times New Roman"/>
          <w:sz w:val="32"/>
          <w:szCs w:val="32"/>
          <w:lang w:eastAsia="zh-CN"/>
        </w:rPr>
        <w:t>无</w:t>
      </w:r>
      <w:r>
        <w:rPr>
          <w:rFonts w:ascii="Times New Roman" w:hAnsi="Times New Roman" w:eastAsia="仿宋_GB2312" w:cs="Times New Roman"/>
          <w:sz w:val="32"/>
          <w:szCs w:val="32"/>
        </w:rPr>
        <w:t>拟购置固定资产。</w:t>
      </w:r>
    </w:p>
    <w:p>
      <w:pPr>
        <w:spacing w:line="584" w:lineRule="exact"/>
        <w:ind w:firstLine="640" w:firstLineChars="0"/>
        <w:rPr>
          <w:rFonts w:ascii="Times New Roman" w:hAnsi="Times New Roman" w:eastAsia="仿宋_GB2312" w:cs="Times New Roman"/>
          <w:sz w:val="32"/>
          <w:szCs w:val="32"/>
        </w:rPr>
      </w:pPr>
    </w:p>
    <w:tbl>
      <w:tblPr>
        <w:tblStyle w:val="2"/>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ind w:firstLine="0" w:firstLineChars="0"/>
              <w:jc w:val="left"/>
              <w:rPr>
                <w:rFonts w:hint="eastAsia" w:ascii="Times New Roman" w:hAnsi="Times New Roman" w:eastAsia="仿宋_GB2312" w:cs="Times New Roman"/>
                <w:color w:val="FF0000"/>
                <w:kern w:val="0"/>
                <w:sz w:val="22"/>
                <w:szCs w:val="22"/>
                <w:lang w:eastAsia="zh-CN"/>
              </w:rPr>
            </w:pPr>
            <w:r>
              <w:rPr>
                <w:rFonts w:ascii="Times New Roman" w:hAnsi="Times New Roman" w:eastAsia="仿宋_GB2312" w:cs="Times New Roman"/>
                <w:color w:val="auto"/>
                <w:kern w:val="0"/>
                <w:sz w:val="22"/>
                <w:szCs w:val="22"/>
              </w:rPr>
              <w:t>编制</w:t>
            </w:r>
            <w:r>
              <w:rPr>
                <w:rFonts w:hint="eastAsia" w:ascii="Times New Roman" w:hAnsi="Times New Roman" w:eastAsia="仿宋_GB2312" w:cs="Times New Roman"/>
                <w:color w:val="auto"/>
                <w:kern w:val="0"/>
                <w:sz w:val="22"/>
                <w:szCs w:val="22"/>
                <w:lang w:eastAsia="zh-CN"/>
              </w:rPr>
              <w:t>单位</w:t>
            </w:r>
            <w:r>
              <w:rPr>
                <w:rFonts w:ascii="Times New Roman" w:hAnsi="Times New Roman" w:eastAsia="仿宋_GB2312" w:cs="Times New Roman"/>
                <w:color w:val="auto"/>
                <w:kern w:val="0"/>
                <w:sz w:val="22"/>
                <w:szCs w:val="22"/>
              </w:rPr>
              <w:t>：香河县</w:t>
            </w:r>
            <w:r>
              <w:rPr>
                <w:rFonts w:hint="eastAsia" w:ascii="Times New Roman" w:hAnsi="Times New Roman" w:cs="Times New Roman"/>
                <w:color w:val="auto"/>
                <w:kern w:val="0"/>
                <w:sz w:val="22"/>
                <w:szCs w:val="22"/>
                <w:lang w:eastAsia="zh-CN"/>
              </w:rPr>
              <w:t>委宣传部</w:t>
            </w:r>
          </w:p>
        </w:tc>
        <w:tc>
          <w:tcPr>
            <w:tcW w:w="5103" w:type="dxa"/>
            <w:tcBorders>
              <w:top w:val="nil"/>
              <w:left w:val="nil"/>
              <w:bottom w:val="nil"/>
              <w:right w:val="nil"/>
            </w:tcBorders>
            <w:shd w:val="clear" w:color="auto" w:fill="auto"/>
            <w:noWrap/>
            <w:vAlign w:val="center"/>
          </w:tcPr>
          <w:p>
            <w:pPr>
              <w:widowControl/>
              <w:spacing w:line="584" w:lineRule="exact"/>
              <w:ind w:firstLine="0" w:firstLineChars="0"/>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截止时间：20</w:t>
            </w:r>
            <w:r>
              <w:rPr>
                <w:rFonts w:hint="eastAsia" w:ascii="Times New Roman" w:hAnsi="Times New Roman" w:eastAsia="仿宋_GB2312" w:cs="Times New Roman"/>
                <w:kern w:val="0"/>
                <w:sz w:val="22"/>
                <w:szCs w:val="22"/>
              </w:rPr>
              <w:t>22</w:t>
            </w:r>
            <w:r>
              <w:rPr>
                <w:rFonts w:ascii="Times New Roman" w:hAnsi="Times New Roman" w:eastAsia="仿宋_GB2312" w:cs="Times New Roman"/>
                <w:kern w:val="0"/>
                <w:sz w:val="22"/>
                <w:szCs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hint="eastAsia" w:ascii="Times New Roman" w:hAnsi="Times New Roman" w:eastAsia="仿宋_GB2312" w:cs="Times New Roman"/>
                <w:sz w:val="22"/>
                <w:szCs w:val="22"/>
                <w:lang w:val="en-US" w:eastAsia="zh-CN"/>
              </w:rPr>
            </w:pPr>
            <w:r>
              <w:rPr>
                <w:rFonts w:hint="eastAsia" w:ascii="Times New Roman" w:hAnsi="Times New Roman" w:cs="Times New Roman"/>
                <w:sz w:val="22"/>
                <w:szCs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hint="default" w:ascii="Times New Roman" w:hAnsi="Times New Roman" w:eastAsia="仿宋_GB2312" w:cs="Times New Roman"/>
                <w:sz w:val="22"/>
                <w:szCs w:val="22"/>
                <w:lang w:val="en-US" w:eastAsia="zh-CN"/>
              </w:rPr>
            </w:pPr>
            <w:r>
              <w:rPr>
                <w:rFonts w:hint="eastAsia" w:ascii="Times New Roman" w:hAnsi="Times New Roman" w:cs="Times New Roman"/>
                <w:sz w:val="22"/>
                <w:szCs w:val="22"/>
                <w:lang w:val="en-US" w:eastAsia="zh-CN"/>
              </w:rPr>
              <w:t>35.97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ind w:firstLine="0" w:firstLineChars="0"/>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hint="default" w:ascii="Times New Roman" w:hAnsi="Times New Roman" w:eastAsia="仿宋_GB2312" w:cs="Times New Roman"/>
                <w:sz w:val="22"/>
                <w:szCs w:val="22"/>
                <w:lang w:val="en-US" w:eastAsia="zh-CN"/>
              </w:rPr>
            </w:pPr>
            <w:r>
              <w:rPr>
                <w:rFonts w:hint="eastAsia" w:ascii="Times New Roman" w:hAnsi="Times New Roman" w:cs="Times New Roman"/>
                <w:sz w:val="22"/>
                <w:szCs w:val="22"/>
                <w:lang w:val="en-US" w:eastAsia="zh-CN"/>
              </w:rPr>
              <w:t>26.618098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bookmarkStart w:id="28" w:name="_GoBack"/>
      <w:bookmarkEnd w:id="28"/>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ind w:firstLine="0" w:firstLineChars="0"/>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kern w:val="2"/>
        <w:sz w:val="21"/>
        <w:szCs w:val="22"/>
        <w:lang w:val="en-US" w:eastAsia="zh-CN" w:bidi="ar-SA"/>
      </w:rPr>
      <w:id w:val="473297"/>
      <w:docPartObj>
        <w:docPartGallery w:val="autotext"/>
      </w:docPartObj>
    </w:sdtPr>
    <w:sdtEndPr>
      <w:rPr>
        <w:rFonts w:ascii="Times New Roman" w:hAnsi="Times New Roman" w:eastAsia="宋体" w:cs="Times New Roman"/>
        <w:kern w:val="2"/>
        <w:sz w:val="18"/>
        <w:szCs w:val="18"/>
        <w:lang w:val="en-US" w:eastAsia="zh-CN" w:bidi="ar-SA"/>
      </w:rPr>
    </w:sdtEndPr>
    <w:sdtContent>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3</w:t>
        </w:r>
        <w:r>
          <w:rPr>
            <w:rFonts w:ascii="Times New Roman" w:hAnsi="Times New Roman" w:eastAsia="宋体" w:cs="Times New Roman"/>
            <w:kern w:val="2"/>
            <w:sz w:val="18"/>
            <w:szCs w:val="18"/>
            <w:lang w:val="zh-CN" w:eastAsia="zh-CN" w:bidi="ar-SA"/>
          </w:rPr>
          <w:fldChar w:fldCharType="end"/>
        </w:r>
      </w:p>
    </w:sdtContent>
  </w:sd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AF365"/>
    <w:multiLevelType w:val="singleLevel"/>
    <w:tmpl w:val="2B6AF36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D3272"/>
    <w:rsid w:val="2B8821E2"/>
    <w:rsid w:val="37457793"/>
    <w:rsid w:val="38C02F5B"/>
    <w:rsid w:val="3F1810EE"/>
    <w:rsid w:val="40200EF8"/>
    <w:rsid w:val="57623269"/>
    <w:rsid w:val="65AA75B7"/>
    <w:rsid w:val="72614324"/>
    <w:rsid w:val="78656AAB"/>
    <w:rsid w:val="787E1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880" w:firstLineChars="200"/>
      <w:jc w:val="both"/>
    </w:pPr>
    <w:rPr>
      <w:rFonts w:eastAsia="仿宋_GB2312" w:asciiTheme="minorAscii" w:hAnsiTheme="minorAscii"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样式1"/>
    <w:basedOn w:val="1"/>
    <w:qFormat/>
    <w:uiPriority w:val="0"/>
    <w:pPr>
      <w:widowControl/>
      <w:pBdr>
        <w:top w:val="none" w:color="auto" w:sz="0" w:space="0"/>
        <w:left w:val="none" w:color="auto" w:sz="0" w:space="0"/>
        <w:bottom w:val="none" w:color="auto" w:sz="0" w:space="0"/>
        <w:right w:val="none" w:color="auto" w:sz="0" w:space="0"/>
      </w:pBdr>
      <w:ind w:firstLine="640" w:firstLineChars="200"/>
      <w:jc w:val="both"/>
    </w:pPr>
    <w:rPr>
      <w:rFonts w:ascii="微软雅黑" w:hAnsi="微软雅黑" w:eastAsia="仿宋_GB2312" w:cs="微软雅黑"/>
      <w:color w:val="222222"/>
      <w:spacing w:val="8"/>
      <w:kern w:val="0"/>
      <w:sz w:val="32"/>
      <w:shd w:val="clear" w:fill="FFFFFF"/>
      <w:lang w:bidi="ar"/>
    </w:rPr>
  </w:style>
  <w:style w:type="paragraph" w:customStyle="1" w:styleId="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9">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2">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2022-08-15T07:19:00Z</dcterms:created>
  <dc:creator>Administrator</dc:creator>
  <cp:lastModifiedBy>Administrator</cp:lastModifiedBy>
  <dcterms:modified xsi:type="dcterms:W3CDTF">2023-08-17T04:44:20Z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